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ind w:firstLine="880" w:firstLineChars="200"/>
        <w:jc w:val="center"/>
        <w:textAlignment w:val="auto"/>
        <w:rPr>
          <w:rFonts w:ascii="黑体" w:hAnsi="黑体" w:eastAsia="黑体"/>
          <w:color w:val="FF0000"/>
          <w:sz w:val="44"/>
          <w:szCs w:val="44"/>
        </w:rPr>
      </w:pPr>
      <w:r>
        <w:rPr>
          <w:rFonts w:hint="eastAsia" w:ascii="黑体" w:hAnsi="黑体" w:eastAsia="黑体"/>
          <w:sz w:val="44"/>
          <w:szCs w:val="44"/>
        </w:rPr>
        <w:t>霸州市</w:t>
      </w:r>
      <w:r>
        <w:rPr>
          <w:rFonts w:hint="eastAsia" w:ascii="方正小标宋简体" w:hAnsi="方正小标宋简体" w:eastAsia="方正小标宋简体" w:cs="方正小标宋简体"/>
          <w:bCs/>
          <w:sz w:val="44"/>
          <w:szCs w:val="44"/>
        </w:rPr>
        <w:t>文学艺术界联合会</w:t>
      </w:r>
      <w:r>
        <w:rPr>
          <w:rFonts w:hint="eastAsia" w:ascii="黑体" w:hAnsi="黑体" w:eastAsia="黑体"/>
          <w:sz w:val="44"/>
          <w:szCs w:val="44"/>
        </w:rPr>
        <w:t>2017年度</w:t>
      </w:r>
      <w:r>
        <w:rPr>
          <w:rFonts w:hint="eastAsia" w:ascii="黑体" w:hAnsi="黑体" w:eastAsia="黑体"/>
          <w:sz w:val="44"/>
          <w:szCs w:val="44"/>
          <w:lang w:eastAsia="zh-CN"/>
        </w:rPr>
        <w:t>部门</w:t>
      </w:r>
      <w:r>
        <w:rPr>
          <w:rFonts w:hint="eastAsia" w:ascii="黑体" w:hAnsi="黑体" w:eastAsia="黑体"/>
          <w:sz w:val="44"/>
          <w:szCs w:val="44"/>
        </w:rPr>
        <w:t>决算信息公开情况说明</w:t>
      </w:r>
    </w:p>
    <w:p>
      <w:pPr>
        <w:keepNext w:val="0"/>
        <w:keepLines w:val="0"/>
        <w:pageBreakBefore w:val="0"/>
        <w:widowControl/>
        <w:kinsoku/>
        <w:wordWrap/>
        <w:overflowPunct/>
        <w:topLinePunct w:val="0"/>
        <w:bidi w:val="0"/>
        <w:spacing w:line="560" w:lineRule="exact"/>
        <w:ind w:firstLine="640" w:firstLineChars="200"/>
        <w:textAlignment w:val="auto"/>
        <w:rPr>
          <w:rFonts w:ascii="仿宋_GB2312" w:hAnsi="仿宋" w:eastAsia="仿宋_GB2312"/>
          <w:color w:val="FF0000"/>
          <w:sz w:val="32"/>
          <w:szCs w:val="32"/>
        </w:rPr>
      </w:pPr>
    </w:p>
    <w:p>
      <w:pPr>
        <w:keepNext w:val="0"/>
        <w:keepLines w:val="0"/>
        <w:pageBreakBefore w:val="0"/>
        <w:widowControl/>
        <w:kinsoku/>
        <w:wordWrap/>
        <w:overflowPunct/>
        <w:topLinePunct w:val="0"/>
        <w:bidi w:val="0"/>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按照《预算法》、《河北省财政厅关于印发&lt;河北省预决算公开操作规程实施细则&gt;的通知》（冀财预﹝2016﹞129号）等规定，现将2017年部门决算公开如下：</w:t>
      </w:r>
    </w:p>
    <w:p>
      <w:pPr>
        <w:keepNext w:val="0"/>
        <w:keepLines w:val="0"/>
        <w:pageBreakBefore w:val="0"/>
        <w:widowControl/>
        <w:numPr>
          <w:ilvl w:val="0"/>
          <w:numId w:val="1"/>
        </w:numPr>
        <w:kinsoku/>
        <w:wordWrap/>
        <w:overflowPunct/>
        <w:topLinePunct w:val="0"/>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部门职责及机构设置情况</w:t>
      </w:r>
    </w:p>
    <w:p>
      <w:pPr>
        <w:keepNext w:val="0"/>
        <w:keepLines w:val="0"/>
        <w:pageBreakBefore w:val="0"/>
        <w:widowControl/>
        <w:kinsoku/>
        <w:wordWrap/>
        <w:overflowPunct/>
        <w:topLinePunct w:val="0"/>
        <w:bidi w:val="0"/>
        <w:spacing w:line="56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部门职责：</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以出作品、出人才为主要任务。通过组织学习、深入生活、文艺创作、理论研究、学术讨论、书刊出版、文艺评奖、对外交流和权益保护等项工作，使文艺自觉服从全党的工作大局，更好地服务于经济建设和社会主义精神文明建设。</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积极鼓励和帮助作家、艺术家投身人民群众改革开放和现代化建设的伟大实践，积极组织并推动广大文艺工作者开展各类文艺创作和理论研究活动，积极倡导作家、艺术家解放思想、大胆探索、勇于创新，弘扬主旋律，创作出既有时代精神又有艺术魅力的精品力作。</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采取各种有效措施，积极发现、培养和扶持文艺新人，创造各种条件，为优秀文艺人才和作品的脱颖而出搭建平台，为优秀文艺人才的成长提供机会和途径。注重加强对中青年文艺工作者的培养和扶植，注重对基层业余文学社团、艺术社团的培养和扶植。对文艺创作、表演的优秀人才以及他们的优秀作品、表演艺术、理论研究及其他优秀成果，予以表彰和奖励。同时，组织开展各类培训，帮助会员和广大文艺工作者提高专业业务能力和文化艺术素养。</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四)会同各团体会员积极推动并加强全市文艺界的团结、友谊与协作，促进各团体会员加强与省内、京津两地以及全国各地文艺界作家、艺术家之间的广泛联系，加强同港、澳、台地区及世界各国文艺界人士和文学艺术团体的联系和友谊，积极开展市内外文学艺术交流活动，在联系和交流中开阔视野，互相取长补短，促进我市文艺工作者素质的提高和文艺事业的繁荣。 </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五)本会积极加强同社会各界的联系，并与政府有关部门密切合作，发展我市的文艺事业。本会积极协同文化行政部门和工、青、妇等群众团体，团结社会各界力量，正确执行党的文艺方针、政策，当好党和政府领导文艺工作的助手，当好党和政府联系广大文艺工作者的桥梁和纽带。</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(六)积极保护会员的合法权益，及时向政府及社会有关方面反映团体会员和文艺工作者的情况和要求。在团体会员和文艺工作者的知识产权等正当权益受到侵害时，本会有责任依法采取保护措施。</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七)积极争取政府及社会各方面的支持，加强基本建设。依据政府有关政策和法规，适当开展有偿服务，开展以文补文、多业助文的经营活动。开办若干以文艺产业为主的、不以盈利为目的的实体，推进相关文化产业发展，充实活动经费，使各团体会员改善工作条件和生活条件。</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 w:hAnsi="仿宋" w:eastAsia="仿宋" w:cs="仿宋"/>
          <w:bCs/>
          <w:sz w:val="32"/>
          <w:szCs w:val="32"/>
        </w:rPr>
      </w:pPr>
      <w:r>
        <w:rPr>
          <w:rFonts w:hint="eastAsia" w:ascii="仿宋_GB2312" w:hAnsi="仿宋" w:eastAsia="仿宋_GB2312"/>
          <w:sz w:val="32"/>
          <w:szCs w:val="32"/>
        </w:rPr>
        <w:t>(八)编辑出版书刊，为人民群众提供良好的精神食粮。</w:t>
      </w:r>
    </w:p>
    <w:p>
      <w:pPr>
        <w:keepNext w:val="0"/>
        <w:keepLines w:val="0"/>
        <w:pageBreakBefore w:val="0"/>
        <w:widowControl/>
        <w:kinsoku/>
        <w:wordWrap/>
        <w:overflowPunct/>
        <w:topLinePunct w:val="0"/>
        <w:bidi w:val="0"/>
        <w:spacing w:line="56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机构设置：</w:t>
      </w:r>
    </w:p>
    <w:p>
      <w:pPr>
        <w:keepNext w:val="0"/>
        <w:keepLines w:val="0"/>
        <w:pageBreakBefore w:val="0"/>
        <w:widowControl/>
        <w:kinsoku/>
        <w:wordWrap/>
        <w:overflowPunct/>
        <w:topLinePunct w:val="0"/>
        <w:bidi w:val="0"/>
        <w:spacing w:line="560" w:lineRule="exact"/>
        <w:ind w:firstLine="643" w:firstLineChars="200"/>
        <w:textAlignment w:val="auto"/>
        <w:rPr>
          <w:rFonts w:hint="eastAsia" w:ascii="仿宋_GB2312" w:hAnsi="仿宋" w:eastAsia="仿宋_GB2312"/>
          <w:b/>
          <w:bCs/>
          <w:sz w:val="32"/>
          <w:szCs w:val="32"/>
        </w:rPr>
      </w:pPr>
      <w:r>
        <w:rPr>
          <w:rFonts w:hint="eastAsia" w:ascii="仿宋_GB2312" w:hAnsi="仿宋" w:eastAsia="仿宋_GB2312"/>
          <w:b/>
          <w:bCs/>
          <w:sz w:val="32"/>
          <w:szCs w:val="32"/>
        </w:rPr>
        <w:t>部门机构设置情况</w:t>
      </w:r>
    </w:p>
    <w:tbl>
      <w:tblPr>
        <w:tblStyle w:val="4"/>
        <w:tblW w:w="91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6"/>
        <w:gridCol w:w="1887"/>
        <w:gridCol w:w="1190"/>
        <w:gridCol w:w="27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jc w:val="center"/>
        </w:trPr>
        <w:tc>
          <w:tcPr>
            <w:tcW w:w="3316" w:type="dxa"/>
            <w:vMerge w:val="restart"/>
            <w:vAlign w:val="center"/>
          </w:tcPr>
          <w:p>
            <w:pPr>
              <w:keepNext w:val="0"/>
              <w:keepLines w:val="0"/>
              <w:pageBreakBefore w:val="0"/>
              <w:kinsoku/>
              <w:wordWrap/>
              <w:overflowPunct/>
              <w:topLinePunct w:val="0"/>
              <w:bidi w:val="0"/>
              <w:spacing w:line="560" w:lineRule="exact"/>
              <w:ind w:firstLine="422" w:firstLineChars="200"/>
              <w:jc w:val="center"/>
              <w:textAlignment w:val="auto"/>
              <w:rPr>
                <w:rFonts w:eastAsia="方正书宋_GBK"/>
                <w:b/>
              </w:rPr>
            </w:pPr>
            <w:r>
              <w:rPr>
                <w:rFonts w:eastAsia="方正书宋_GBK"/>
                <w:b/>
              </w:rPr>
              <w:t>单位名称</w:t>
            </w:r>
          </w:p>
        </w:tc>
        <w:tc>
          <w:tcPr>
            <w:tcW w:w="1887" w:type="dxa"/>
            <w:vMerge w:val="restart"/>
            <w:vAlign w:val="center"/>
          </w:tcPr>
          <w:p>
            <w:pPr>
              <w:keepNext w:val="0"/>
              <w:keepLines w:val="0"/>
              <w:pageBreakBefore w:val="0"/>
              <w:kinsoku/>
              <w:wordWrap/>
              <w:overflowPunct/>
              <w:topLinePunct w:val="0"/>
              <w:bidi w:val="0"/>
              <w:spacing w:line="560" w:lineRule="exact"/>
              <w:ind w:firstLine="422" w:firstLineChars="200"/>
              <w:jc w:val="center"/>
              <w:textAlignment w:val="auto"/>
              <w:rPr>
                <w:rFonts w:eastAsia="方正书宋_GBK"/>
                <w:b/>
              </w:rPr>
            </w:pPr>
            <w:r>
              <w:rPr>
                <w:rFonts w:eastAsia="方正书宋_GBK"/>
                <w:b/>
              </w:rPr>
              <w:t>单位性质</w:t>
            </w:r>
          </w:p>
        </w:tc>
        <w:tc>
          <w:tcPr>
            <w:tcW w:w="1190" w:type="dxa"/>
            <w:vMerge w:val="restart"/>
            <w:vAlign w:val="center"/>
          </w:tcPr>
          <w:p>
            <w:pPr>
              <w:keepNext w:val="0"/>
              <w:keepLines w:val="0"/>
              <w:pageBreakBefore w:val="0"/>
              <w:kinsoku/>
              <w:wordWrap/>
              <w:overflowPunct/>
              <w:topLinePunct w:val="0"/>
              <w:bidi w:val="0"/>
              <w:spacing w:line="560" w:lineRule="exact"/>
              <w:jc w:val="both"/>
              <w:textAlignment w:val="auto"/>
              <w:rPr>
                <w:rFonts w:eastAsia="方正书宋_GBK"/>
                <w:b/>
              </w:rPr>
            </w:pPr>
            <w:r>
              <w:rPr>
                <w:rFonts w:eastAsia="方正书宋_GBK"/>
                <w:b/>
              </w:rPr>
              <w:t>单位规格</w:t>
            </w:r>
          </w:p>
        </w:tc>
        <w:tc>
          <w:tcPr>
            <w:tcW w:w="2707" w:type="dxa"/>
            <w:vMerge w:val="restart"/>
            <w:vAlign w:val="center"/>
          </w:tcPr>
          <w:p>
            <w:pPr>
              <w:keepNext w:val="0"/>
              <w:keepLines w:val="0"/>
              <w:pageBreakBefore w:val="0"/>
              <w:kinsoku/>
              <w:wordWrap/>
              <w:overflowPunct/>
              <w:topLinePunct w:val="0"/>
              <w:bidi w:val="0"/>
              <w:spacing w:line="560" w:lineRule="exact"/>
              <w:ind w:firstLine="422" w:firstLineChars="200"/>
              <w:jc w:val="center"/>
              <w:textAlignment w:val="auto"/>
              <w:rPr>
                <w:rFonts w:eastAsia="方正书宋_GBK"/>
                <w:b/>
              </w:rPr>
            </w:pPr>
            <w:r>
              <w:rPr>
                <w:rFonts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jc w:val="center"/>
        </w:trPr>
        <w:tc>
          <w:tcPr>
            <w:tcW w:w="3316" w:type="dxa"/>
            <w:vMerge w:val="continue"/>
            <w:vAlign w:val="center"/>
          </w:tcPr>
          <w:p>
            <w:pPr>
              <w:keepNext w:val="0"/>
              <w:keepLines w:val="0"/>
              <w:pageBreakBefore w:val="0"/>
              <w:kinsoku/>
              <w:wordWrap/>
              <w:overflowPunct/>
              <w:topLinePunct w:val="0"/>
              <w:bidi w:val="0"/>
              <w:spacing w:line="560" w:lineRule="exact"/>
              <w:ind w:firstLine="420" w:firstLineChars="200"/>
              <w:jc w:val="center"/>
              <w:textAlignment w:val="auto"/>
              <w:outlineLvl w:val="0"/>
            </w:pPr>
          </w:p>
        </w:tc>
        <w:tc>
          <w:tcPr>
            <w:tcW w:w="1887" w:type="dxa"/>
            <w:vMerge w:val="continue"/>
            <w:vAlign w:val="center"/>
          </w:tcPr>
          <w:p>
            <w:pPr>
              <w:keepNext w:val="0"/>
              <w:keepLines w:val="0"/>
              <w:pageBreakBefore w:val="0"/>
              <w:kinsoku/>
              <w:wordWrap/>
              <w:overflowPunct/>
              <w:topLinePunct w:val="0"/>
              <w:bidi w:val="0"/>
              <w:spacing w:line="560" w:lineRule="exact"/>
              <w:ind w:firstLine="420" w:firstLineChars="200"/>
              <w:jc w:val="center"/>
              <w:textAlignment w:val="auto"/>
              <w:outlineLvl w:val="0"/>
            </w:pPr>
          </w:p>
        </w:tc>
        <w:tc>
          <w:tcPr>
            <w:tcW w:w="1190" w:type="dxa"/>
            <w:vMerge w:val="continue"/>
            <w:vAlign w:val="center"/>
          </w:tcPr>
          <w:p>
            <w:pPr>
              <w:keepNext w:val="0"/>
              <w:keepLines w:val="0"/>
              <w:pageBreakBefore w:val="0"/>
              <w:kinsoku/>
              <w:wordWrap/>
              <w:overflowPunct/>
              <w:topLinePunct w:val="0"/>
              <w:bidi w:val="0"/>
              <w:spacing w:line="560" w:lineRule="exact"/>
              <w:ind w:firstLine="420" w:firstLineChars="200"/>
              <w:jc w:val="center"/>
              <w:textAlignment w:val="auto"/>
              <w:outlineLvl w:val="0"/>
            </w:pPr>
          </w:p>
        </w:tc>
        <w:tc>
          <w:tcPr>
            <w:tcW w:w="2707" w:type="dxa"/>
            <w:vMerge w:val="continue"/>
            <w:vAlign w:val="center"/>
          </w:tcPr>
          <w:p>
            <w:pPr>
              <w:keepNext w:val="0"/>
              <w:keepLines w:val="0"/>
              <w:pageBreakBefore w:val="0"/>
              <w:kinsoku/>
              <w:wordWrap/>
              <w:overflowPunct/>
              <w:topLinePunct w:val="0"/>
              <w:bidi w:val="0"/>
              <w:spacing w:line="560" w:lineRule="exact"/>
              <w:ind w:firstLine="420" w:firstLineChars="200"/>
              <w:jc w:val="center"/>
              <w:textAlignment w:val="auto"/>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jc w:val="center"/>
        </w:trPr>
        <w:tc>
          <w:tcPr>
            <w:tcW w:w="3316" w:type="dxa"/>
            <w:vAlign w:val="center"/>
          </w:tcPr>
          <w:p>
            <w:pPr>
              <w:keepNext w:val="0"/>
              <w:keepLines w:val="0"/>
              <w:pageBreakBefore w:val="0"/>
              <w:kinsoku/>
              <w:wordWrap/>
              <w:overflowPunct/>
              <w:topLinePunct w:val="0"/>
              <w:bidi w:val="0"/>
              <w:spacing w:line="560" w:lineRule="exact"/>
              <w:ind w:firstLine="420" w:firstLineChars="200"/>
              <w:jc w:val="both"/>
              <w:textAlignment w:val="auto"/>
              <w:rPr>
                <w:rFonts w:eastAsia="方正书宋_GBK"/>
                <w:color w:val="FF0000"/>
              </w:rPr>
            </w:pPr>
            <w:r>
              <w:rPr>
                <w:rFonts w:hint="eastAsia" w:ascii="方正书宋_GBK" w:eastAsia="方正书宋_GBK"/>
              </w:rPr>
              <w:t>霸州市文学艺术界联合会</w:t>
            </w:r>
          </w:p>
        </w:tc>
        <w:tc>
          <w:tcPr>
            <w:tcW w:w="1887" w:type="dxa"/>
            <w:vAlign w:val="center"/>
          </w:tcPr>
          <w:p>
            <w:pPr>
              <w:keepNext w:val="0"/>
              <w:keepLines w:val="0"/>
              <w:pageBreakBefore w:val="0"/>
              <w:kinsoku/>
              <w:wordWrap/>
              <w:overflowPunct/>
              <w:topLinePunct w:val="0"/>
              <w:bidi w:val="0"/>
              <w:spacing w:line="300" w:lineRule="exact"/>
              <w:ind w:firstLine="420" w:firstLineChars="200"/>
              <w:jc w:val="both"/>
              <w:textAlignment w:val="auto"/>
              <w:rPr>
                <w:rFonts w:eastAsia="方正书宋_GBK"/>
                <w:color w:val="FF0000"/>
              </w:rPr>
            </w:pPr>
            <w:r>
              <w:rPr>
                <w:rFonts w:hint="eastAsia" w:ascii="方正书宋_GBK" w:eastAsia="方正书宋_GBK"/>
              </w:rPr>
              <w:t>全额事业</w:t>
            </w:r>
          </w:p>
        </w:tc>
        <w:tc>
          <w:tcPr>
            <w:tcW w:w="1190" w:type="dxa"/>
            <w:vAlign w:val="center"/>
          </w:tcPr>
          <w:p>
            <w:pPr>
              <w:keepNext w:val="0"/>
              <w:keepLines w:val="0"/>
              <w:pageBreakBefore w:val="0"/>
              <w:kinsoku/>
              <w:wordWrap/>
              <w:overflowPunct/>
              <w:topLinePunct w:val="0"/>
              <w:bidi w:val="0"/>
              <w:spacing w:line="300" w:lineRule="exact"/>
              <w:jc w:val="center"/>
              <w:textAlignment w:val="auto"/>
              <w:rPr>
                <w:rFonts w:eastAsia="方正书宋_GBK"/>
                <w:color w:val="FF0000"/>
              </w:rPr>
            </w:pPr>
            <w:r>
              <w:rPr>
                <w:rFonts w:hint="eastAsia" w:ascii="方正书宋_GBK" w:eastAsia="方正书宋_GBK"/>
              </w:rPr>
              <w:t>正</w:t>
            </w:r>
            <w:r>
              <w:rPr>
                <w:rFonts w:hint="eastAsia" w:ascii="方正书宋_GBK" w:eastAsia="方正书宋_GBK"/>
                <w:lang w:val="en-US" w:eastAsia="zh-CN"/>
              </w:rPr>
              <w:t>科</w:t>
            </w:r>
            <w:r>
              <w:rPr>
                <w:rFonts w:hint="eastAsia" w:ascii="方正书宋_GBK" w:eastAsia="方正书宋_GBK"/>
              </w:rPr>
              <w:t>级</w:t>
            </w:r>
          </w:p>
        </w:tc>
        <w:tc>
          <w:tcPr>
            <w:tcW w:w="2707" w:type="dxa"/>
            <w:vAlign w:val="center"/>
          </w:tcPr>
          <w:p>
            <w:pPr>
              <w:keepNext w:val="0"/>
              <w:keepLines w:val="0"/>
              <w:pageBreakBefore w:val="0"/>
              <w:kinsoku/>
              <w:wordWrap/>
              <w:overflowPunct/>
              <w:topLinePunct w:val="0"/>
              <w:bidi w:val="0"/>
              <w:spacing w:line="300" w:lineRule="exact"/>
              <w:ind w:firstLine="420" w:firstLineChars="200"/>
              <w:jc w:val="center"/>
              <w:textAlignment w:val="auto"/>
              <w:rPr>
                <w:rFonts w:eastAsia="方正书宋_GBK"/>
                <w:color w:val="FF0000"/>
              </w:rPr>
            </w:pPr>
            <w:r>
              <w:rPr>
                <w:rFonts w:hint="eastAsia" w:ascii="方正书宋_GBK" w:eastAsia="方正书宋_GBK"/>
              </w:rPr>
              <w:t>财政性资金基本保证</w:t>
            </w:r>
          </w:p>
        </w:tc>
      </w:tr>
    </w:tbl>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我单位为1级预算单位，无下属单位，无汇总决算</w:t>
      </w:r>
    </w:p>
    <w:p>
      <w:pPr>
        <w:keepNext w:val="0"/>
        <w:keepLines w:val="0"/>
        <w:pageBreakBefore w:val="0"/>
        <w:numPr>
          <w:ilvl w:val="0"/>
          <w:numId w:val="1"/>
        </w:numPr>
        <w:kinsoku/>
        <w:wordWrap/>
        <w:overflowPunct/>
        <w:topLinePunct w:val="0"/>
        <w:bidi w:val="0"/>
        <w:spacing w:line="560" w:lineRule="exact"/>
        <w:ind w:left="0" w:leftChars="0" w:firstLine="640" w:firstLineChars="200"/>
        <w:textAlignment w:val="auto"/>
        <w:rPr>
          <w:rFonts w:hint="eastAsia" w:ascii="黑体" w:hAnsi="黑体" w:eastAsia="黑体"/>
          <w:sz w:val="32"/>
          <w:szCs w:val="32"/>
        </w:rPr>
      </w:pPr>
      <w:r>
        <w:rPr>
          <w:rFonts w:hint="eastAsia" w:ascii="黑体" w:hAnsi="黑体" w:eastAsia="黑体"/>
          <w:sz w:val="32"/>
          <w:szCs w:val="32"/>
        </w:rPr>
        <w:t>部门决算报表（见附表）</w:t>
      </w:r>
    </w:p>
    <w:p>
      <w:pPr>
        <w:keepNext w:val="0"/>
        <w:keepLines w:val="0"/>
        <w:pageBreakBefore w:val="0"/>
        <w:widowControl/>
        <w:numPr>
          <w:ilvl w:val="0"/>
          <w:numId w:val="2"/>
        </w:numPr>
        <w:kinsoku/>
        <w:wordWrap/>
        <w:overflowPunct/>
        <w:topLinePunct w:val="0"/>
        <w:bidi w:val="0"/>
        <w:spacing w:line="560" w:lineRule="exact"/>
        <w:ind w:left="0" w:lef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收入支出决算总表</w:t>
      </w:r>
    </w:p>
    <w:p>
      <w:pPr>
        <w:keepNext w:val="0"/>
        <w:keepLines w:val="0"/>
        <w:pageBreakBefore w:val="0"/>
        <w:widowControl/>
        <w:numPr>
          <w:ilvl w:val="0"/>
          <w:numId w:val="2"/>
        </w:numPr>
        <w:kinsoku/>
        <w:wordWrap/>
        <w:overflowPunct/>
        <w:topLinePunct w:val="0"/>
        <w:bidi w:val="0"/>
        <w:spacing w:line="560" w:lineRule="exact"/>
        <w:ind w:left="0" w:lef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收入决算表</w:t>
      </w:r>
    </w:p>
    <w:p>
      <w:pPr>
        <w:keepNext w:val="0"/>
        <w:keepLines w:val="0"/>
        <w:pageBreakBefore w:val="0"/>
        <w:widowControl/>
        <w:numPr>
          <w:ilvl w:val="0"/>
          <w:numId w:val="2"/>
        </w:numPr>
        <w:kinsoku/>
        <w:wordWrap/>
        <w:overflowPunct/>
        <w:topLinePunct w:val="0"/>
        <w:bidi w:val="0"/>
        <w:spacing w:line="560" w:lineRule="exact"/>
        <w:ind w:left="0" w:lef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支出决算表</w:t>
      </w:r>
    </w:p>
    <w:p>
      <w:pPr>
        <w:keepNext w:val="0"/>
        <w:keepLines w:val="0"/>
        <w:pageBreakBefore w:val="0"/>
        <w:widowControl/>
        <w:numPr>
          <w:ilvl w:val="0"/>
          <w:numId w:val="2"/>
        </w:numPr>
        <w:kinsoku/>
        <w:wordWrap/>
        <w:overflowPunct/>
        <w:topLinePunct w:val="0"/>
        <w:bidi w:val="0"/>
        <w:spacing w:line="560" w:lineRule="exact"/>
        <w:ind w:left="0" w:lef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财政拨款收入支出决算总表</w:t>
      </w:r>
    </w:p>
    <w:p>
      <w:pPr>
        <w:keepNext w:val="0"/>
        <w:keepLines w:val="0"/>
        <w:pageBreakBefore w:val="0"/>
        <w:widowControl/>
        <w:numPr>
          <w:ilvl w:val="0"/>
          <w:numId w:val="2"/>
        </w:numPr>
        <w:kinsoku/>
        <w:wordWrap/>
        <w:overflowPunct/>
        <w:topLinePunct w:val="0"/>
        <w:bidi w:val="0"/>
        <w:spacing w:line="560" w:lineRule="exact"/>
        <w:ind w:left="0" w:lef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一般公共预算财政拨款收入支出决算表</w:t>
      </w:r>
    </w:p>
    <w:p>
      <w:pPr>
        <w:keepNext w:val="0"/>
        <w:keepLines w:val="0"/>
        <w:pageBreakBefore w:val="0"/>
        <w:widowControl/>
        <w:numPr>
          <w:ilvl w:val="0"/>
          <w:numId w:val="2"/>
        </w:numPr>
        <w:kinsoku/>
        <w:wordWrap/>
        <w:overflowPunct/>
        <w:topLinePunct w:val="0"/>
        <w:bidi w:val="0"/>
        <w:spacing w:line="560" w:lineRule="exact"/>
        <w:ind w:left="0" w:lef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一般公共预算财政拨款基本支出决算经济分类表</w:t>
      </w:r>
    </w:p>
    <w:p>
      <w:pPr>
        <w:keepNext w:val="0"/>
        <w:keepLines w:val="0"/>
        <w:pageBreakBefore w:val="0"/>
        <w:widowControl/>
        <w:numPr>
          <w:ilvl w:val="0"/>
          <w:numId w:val="2"/>
        </w:numPr>
        <w:kinsoku/>
        <w:wordWrap/>
        <w:overflowPunct/>
        <w:topLinePunct w:val="0"/>
        <w:bidi w:val="0"/>
        <w:spacing w:line="560" w:lineRule="exact"/>
        <w:ind w:left="0" w:lef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政府性基金预算财政拨款收入支出决算表</w:t>
      </w:r>
    </w:p>
    <w:p>
      <w:pPr>
        <w:keepNext w:val="0"/>
        <w:keepLines w:val="0"/>
        <w:pageBreakBefore w:val="0"/>
        <w:widowControl/>
        <w:numPr>
          <w:ilvl w:val="0"/>
          <w:numId w:val="2"/>
        </w:numPr>
        <w:kinsoku/>
        <w:wordWrap/>
        <w:overflowPunct/>
        <w:topLinePunct w:val="0"/>
        <w:bidi w:val="0"/>
        <w:spacing w:line="560" w:lineRule="exact"/>
        <w:ind w:left="0" w:lef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国有资本经营预算财政拨款收入支出决算表</w:t>
      </w:r>
    </w:p>
    <w:p>
      <w:pPr>
        <w:keepNext w:val="0"/>
        <w:keepLines w:val="0"/>
        <w:pageBreakBefore w:val="0"/>
        <w:widowControl/>
        <w:numPr>
          <w:ilvl w:val="0"/>
          <w:numId w:val="2"/>
        </w:numPr>
        <w:kinsoku/>
        <w:wordWrap/>
        <w:overflowPunct/>
        <w:topLinePunct w:val="0"/>
        <w:bidi w:val="0"/>
        <w:spacing w:line="560" w:lineRule="exact"/>
        <w:ind w:left="0" w:lef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“三公”经费等相关信息统计表</w:t>
      </w:r>
    </w:p>
    <w:p>
      <w:pPr>
        <w:keepNext w:val="0"/>
        <w:keepLines w:val="0"/>
        <w:pageBreakBefore w:val="0"/>
        <w:widowControl/>
        <w:numPr>
          <w:ilvl w:val="0"/>
          <w:numId w:val="2"/>
        </w:numPr>
        <w:kinsoku/>
        <w:wordWrap/>
        <w:overflowPunct/>
        <w:topLinePunct w:val="0"/>
        <w:bidi w:val="0"/>
        <w:spacing w:line="560" w:lineRule="exact"/>
        <w:ind w:left="0" w:lef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政府采购情况表</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sz w:val="32"/>
          <w:szCs w:val="32"/>
        </w:rPr>
      </w:pPr>
      <w:r>
        <w:rPr>
          <w:rFonts w:hint="eastAsia" w:eastAsia="黑体"/>
          <w:sz w:val="32"/>
          <w:szCs w:val="32"/>
        </w:rPr>
        <w:t>三</w:t>
      </w:r>
      <w:r>
        <w:rPr>
          <w:rFonts w:eastAsia="黑体"/>
          <w:sz w:val="32"/>
          <w:szCs w:val="32"/>
        </w:rPr>
        <w:t>、</w:t>
      </w:r>
      <w:r>
        <w:rPr>
          <w:rFonts w:hint="eastAsia" w:ascii="黑体" w:hAnsi="黑体" w:eastAsia="黑体"/>
          <w:sz w:val="32"/>
          <w:szCs w:val="32"/>
        </w:rPr>
        <w:t>2017年度部门决算情况说明</w:t>
      </w:r>
    </w:p>
    <w:p>
      <w:pPr>
        <w:keepNext w:val="0"/>
        <w:keepLines w:val="0"/>
        <w:pageBreakBefore w:val="0"/>
        <w:kinsoku/>
        <w:wordWrap/>
        <w:overflowPunct/>
        <w:topLinePunct w:val="0"/>
        <w:bidi w:val="0"/>
        <w:snapToGrid w:val="0"/>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（一）收入支出决算总体情况说明</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霸州市文学艺术界联合会部门</w:t>
      </w:r>
      <w:r>
        <w:rPr>
          <w:rFonts w:hint="eastAsia" w:ascii="仿宋_GB2312" w:hAnsi="仿宋" w:eastAsia="仿宋_GB2312"/>
          <w:sz w:val="32"/>
          <w:szCs w:val="32"/>
        </w:rPr>
        <w:t>2017年度决算收入总计</w:t>
      </w:r>
      <w:r>
        <w:rPr>
          <w:rFonts w:hint="eastAsia" w:ascii="仿宋_GB2312" w:hAnsi="仿宋" w:eastAsia="仿宋_GB2312"/>
          <w:sz w:val="32"/>
          <w:szCs w:val="32"/>
          <w:lang w:val="en-US" w:eastAsia="zh-CN"/>
        </w:rPr>
        <w:t>35.43万元，其中本年度财政</w:t>
      </w:r>
      <w:r>
        <w:rPr>
          <w:rFonts w:hint="eastAsia" w:ascii="仿宋_GB2312" w:hAnsi="仿宋" w:eastAsia="仿宋_GB2312"/>
          <w:sz w:val="32"/>
          <w:szCs w:val="32"/>
        </w:rPr>
        <w:t>拨款35</w:t>
      </w:r>
      <w:r>
        <w:rPr>
          <w:rFonts w:hint="eastAsia" w:ascii="仿宋_GB2312" w:hAnsi="仿宋" w:eastAsia="仿宋_GB2312"/>
          <w:sz w:val="32"/>
          <w:szCs w:val="32"/>
          <w:lang w:val="en-US" w:eastAsia="zh-CN"/>
        </w:rPr>
        <w:t>.</w:t>
      </w:r>
      <w:r>
        <w:rPr>
          <w:rFonts w:hint="eastAsia" w:ascii="仿宋_GB2312" w:hAnsi="仿宋" w:eastAsia="仿宋_GB2312"/>
          <w:sz w:val="32"/>
          <w:szCs w:val="32"/>
        </w:rPr>
        <w:t>43万元，决算支出总计123</w:t>
      </w:r>
      <w:r>
        <w:rPr>
          <w:rFonts w:hint="eastAsia" w:ascii="仿宋_GB2312" w:hAnsi="仿宋" w:eastAsia="仿宋_GB2312"/>
          <w:sz w:val="32"/>
          <w:szCs w:val="32"/>
          <w:lang w:val="en-US" w:eastAsia="zh-CN"/>
        </w:rPr>
        <w:t>.61</w:t>
      </w:r>
      <w:r>
        <w:rPr>
          <w:rFonts w:hint="eastAsia" w:ascii="仿宋_GB2312" w:hAnsi="仿宋" w:eastAsia="仿宋_GB2312"/>
          <w:sz w:val="32"/>
          <w:szCs w:val="32"/>
        </w:rPr>
        <w:t>万元。与2016年度决算相比</w:t>
      </w:r>
      <w:r>
        <w:rPr>
          <w:rFonts w:hint="eastAsia" w:ascii="仿宋_GB2312" w:hAnsi="仿宋" w:eastAsia="仿宋_GB2312"/>
          <w:sz w:val="32"/>
          <w:szCs w:val="32"/>
          <w:lang w:eastAsia="zh-CN"/>
        </w:rPr>
        <w:t>，收入减少</w:t>
      </w:r>
      <w:r>
        <w:rPr>
          <w:rFonts w:hint="eastAsia" w:ascii="仿宋_GB2312" w:hAnsi="仿宋" w:eastAsia="仿宋_GB2312"/>
          <w:sz w:val="32"/>
          <w:szCs w:val="32"/>
          <w:lang w:val="en-US" w:eastAsia="zh-CN"/>
        </w:rPr>
        <w:t>264.4</w:t>
      </w:r>
      <w:r>
        <w:rPr>
          <w:rFonts w:hint="eastAsia" w:ascii="仿宋_GB2312" w:hAnsi="仿宋" w:eastAsia="仿宋_GB2312"/>
          <w:sz w:val="32"/>
          <w:szCs w:val="32"/>
        </w:rPr>
        <w:t>万元</w:t>
      </w:r>
      <w:r>
        <w:rPr>
          <w:rFonts w:hint="eastAsia" w:ascii="仿宋_GB2312" w:hAnsi="仿宋" w:eastAsia="仿宋_GB2312"/>
          <w:sz w:val="32"/>
          <w:szCs w:val="32"/>
          <w:lang w:eastAsia="zh-CN"/>
        </w:rPr>
        <w:t>，下降</w:t>
      </w:r>
      <w:r>
        <w:rPr>
          <w:rFonts w:hint="eastAsia" w:ascii="仿宋_GB2312" w:hAnsi="仿宋" w:eastAsia="仿宋_GB2312"/>
          <w:sz w:val="32"/>
          <w:szCs w:val="32"/>
          <w:lang w:val="en-US" w:eastAsia="zh-CN"/>
        </w:rPr>
        <w:t>88.18</w:t>
      </w:r>
      <w:r>
        <w:rPr>
          <w:rFonts w:hint="eastAsia" w:ascii="仿宋_GB2312" w:hAnsi="仿宋" w:eastAsia="仿宋_GB2312"/>
          <w:sz w:val="32"/>
          <w:szCs w:val="32"/>
        </w:rPr>
        <w:t>%，主要原因</w:t>
      </w:r>
      <w:r>
        <w:rPr>
          <w:rFonts w:hint="eastAsia" w:ascii="仿宋_GB2312" w:hAnsi="仿宋" w:eastAsia="仿宋_GB2312"/>
          <w:sz w:val="32"/>
          <w:szCs w:val="32"/>
          <w:lang w:eastAsia="zh-CN"/>
        </w:rPr>
        <w:t>是</w:t>
      </w:r>
      <w:r>
        <w:rPr>
          <w:rFonts w:hint="eastAsia" w:ascii="仿宋_GB2312" w:hAnsi="仿宋" w:eastAsia="仿宋_GB2312"/>
          <w:sz w:val="32"/>
          <w:szCs w:val="32"/>
          <w:lang w:val="en-US" w:eastAsia="zh-CN"/>
        </w:rPr>
        <w:t>2017《霸州历史名人馆》这一项目的收入</w:t>
      </w:r>
      <w:r>
        <w:rPr>
          <w:rFonts w:hint="eastAsia" w:ascii="仿宋_GB2312" w:hAnsi="仿宋" w:eastAsia="仿宋_GB2312"/>
          <w:sz w:val="32"/>
          <w:szCs w:val="32"/>
        </w:rPr>
        <w:t>。</w:t>
      </w:r>
      <w:r>
        <w:rPr>
          <w:rFonts w:hint="eastAsia" w:ascii="仿宋_GB2312" w:hAnsi="仿宋" w:eastAsia="仿宋_GB2312"/>
          <w:sz w:val="32"/>
          <w:szCs w:val="32"/>
          <w:lang w:eastAsia="zh-CN"/>
        </w:rPr>
        <w:t>支出增长</w:t>
      </w:r>
      <w:r>
        <w:rPr>
          <w:rFonts w:hint="eastAsia" w:ascii="仿宋_GB2312" w:hAnsi="仿宋" w:eastAsia="仿宋_GB2312"/>
          <w:sz w:val="32"/>
          <w:szCs w:val="32"/>
          <w:lang w:val="en-US" w:eastAsia="zh-CN"/>
        </w:rPr>
        <w:t>18.92万元，增长18.07%，</w:t>
      </w:r>
      <w:r>
        <w:rPr>
          <w:rFonts w:hint="eastAsia" w:ascii="仿宋_GB2312" w:hAnsi="仿宋" w:eastAsia="仿宋_GB2312"/>
          <w:sz w:val="32"/>
          <w:szCs w:val="32"/>
        </w:rPr>
        <w:t>主要原因</w:t>
      </w:r>
      <w:r>
        <w:rPr>
          <w:rFonts w:hint="eastAsia" w:ascii="仿宋_GB2312" w:hAnsi="仿宋" w:eastAsia="仿宋_GB2312"/>
          <w:sz w:val="32"/>
          <w:szCs w:val="32"/>
          <w:lang w:eastAsia="zh-CN"/>
        </w:rPr>
        <w:t>是我单位</w:t>
      </w:r>
      <w:r>
        <w:rPr>
          <w:rFonts w:hint="eastAsia" w:ascii="仿宋_GB2312" w:hAnsi="仿宋" w:eastAsia="仿宋_GB2312"/>
          <w:sz w:val="32"/>
          <w:szCs w:val="32"/>
        </w:rPr>
        <w:t>迁址新办公场所</w:t>
      </w:r>
      <w:r>
        <w:rPr>
          <w:rFonts w:hint="eastAsia" w:ascii="仿宋_GB2312" w:hAnsi="仿宋" w:eastAsia="仿宋_GB2312"/>
          <w:sz w:val="32"/>
          <w:szCs w:val="32"/>
          <w:lang w:eastAsia="zh-CN"/>
        </w:rPr>
        <w:t>、安装天然气管道及采暖炉、购置历史名人馆人物遗存图书、书画、遗物征集等物品并召开“第三届文学艺术界代表大会”换届会议。</w:t>
      </w:r>
    </w:p>
    <w:p>
      <w:pPr>
        <w:keepNext w:val="0"/>
        <w:keepLines w:val="0"/>
        <w:pageBreakBefore w:val="0"/>
        <w:kinsoku/>
        <w:wordWrap/>
        <w:overflowPunct/>
        <w:topLinePunct w:val="0"/>
        <w:bidi w:val="0"/>
        <w:snapToGrid w:val="0"/>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（二）收入决算情况说明</w:t>
      </w:r>
    </w:p>
    <w:p>
      <w:pPr>
        <w:keepNext w:val="0"/>
        <w:keepLines w:val="0"/>
        <w:pageBreakBefore w:val="0"/>
        <w:widowControl/>
        <w:kinsoku/>
        <w:wordWrap/>
        <w:overflowPunct/>
        <w:topLinePunct w:val="0"/>
        <w:bidi w:val="0"/>
        <w:spacing w:line="560" w:lineRule="exact"/>
        <w:ind w:firstLine="640" w:firstLineChars="200"/>
        <w:textAlignment w:val="auto"/>
        <w:rPr>
          <w:rFonts w:ascii="仿宋_GB2312" w:hAnsi="仿宋" w:eastAsia="仿宋_GB2312"/>
          <w:color w:val="FF0000"/>
          <w:sz w:val="32"/>
          <w:szCs w:val="32"/>
        </w:rPr>
      </w:pPr>
      <w:r>
        <w:rPr>
          <w:rFonts w:hint="eastAsia" w:ascii="仿宋_GB2312" w:hAnsi="仿宋" w:eastAsia="仿宋_GB2312"/>
          <w:sz w:val="32"/>
          <w:szCs w:val="32"/>
          <w:lang w:eastAsia="zh-CN"/>
        </w:rPr>
        <w:t>霸州市文学艺术界联合会部门</w:t>
      </w:r>
      <w:r>
        <w:rPr>
          <w:rFonts w:hint="eastAsia" w:ascii="仿宋_GB2312" w:hAnsi="仿宋" w:eastAsia="仿宋_GB2312"/>
          <w:sz w:val="32"/>
          <w:szCs w:val="32"/>
        </w:rPr>
        <w:t>2017年度收入合计35</w:t>
      </w:r>
      <w:r>
        <w:rPr>
          <w:rFonts w:hint="eastAsia" w:ascii="仿宋_GB2312" w:hAnsi="仿宋" w:eastAsia="仿宋_GB2312"/>
          <w:sz w:val="32"/>
          <w:szCs w:val="32"/>
          <w:lang w:val="en-US" w:eastAsia="zh-CN"/>
        </w:rPr>
        <w:t>.</w:t>
      </w:r>
      <w:r>
        <w:rPr>
          <w:rFonts w:hint="eastAsia" w:ascii="仿宋_GB2312" w:hAnsi="仿宋" w:eastAsia="仿宋_GB2312"/>
          <w:sz w:val="32"/>
          <w:szCs w:val="32"/>
        </w:rPr>
        <w:t>43万元，其中财政拨款收入35</w:t>
      </w:r>
      <w:r>
        <w:rPr>
          <w:rFonts w:hint="eastAsia" w:ascii="仿宋_GB2312" w:hAnsi="仿宋" w:eastAsia="仿宋_GB2312"/>
          <w:sz w:val="32"/>
          <w:szCs w:val="32"/>
          <w:lang w:val="en-US" w:eastAsia="zh-CN"/>
        </w:rPr>
        <w:t>.</w:t>
      </w:r>
      <w:r>
        <w:rPr>
          <w:rFonts w:hint="eastAsia" w:ascii="仿宋_GB2312" w:hAnsi="仿宋" w:eastAsia="仿宋_GB2312"/>
          <w:sz w:val="32"/>
          <w:szCs w:val="32"/>
        </w:rPr>
        <w:t>43万元，占比</w:t>
      </w:r>
      <w:r>
        <w:rPr>
          <w:rFonts w:hint="eastAsia" w:ascii="仿宋_GB2312" w:hAnsi="仿宋" w:eastAsia="仿宋_GB2312"/>
          <w:sz w:val="32"/>
          <w:szCs w:val="32"/>
          <w:lang w:val="en-US" w:eastAsia="zh-CN"/>
        </w:rPr>
        <w:t>100</w:t>
      </w:r>
      <w:r>
        <w:rPr>
          <w:rFonts w:hint="eastAsia" w:ascii="仿宋_GB2312" w:hAnsi="仿宋" w:eastAsia="仿宋_GB2312"/>
          <w:sz w:val="32"/>
          <w:szCs w:val="32"/>
        </w:rPr>
        <w:t>%；事业收入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万元，占比</w:t>
      </w:r>
      <w:r>
        <w:rPr>
          <w:rFonts w:hint="eastAsia" w:ascii="仿宋_GB2312" w:hAnsi="仿宋" w:eastAsia="仿宋_GB2312"/>
          <w:sz w:val="32"/>
          <w:szCs w:val="32"/>
          <w:lang w:val="en-US" w:eastAsia="zh-CN"/>
        </w:rPr>
        <w:t>0</w:t>
      </w:r>
      <w:r>
        <w:rPr>
          <w:rFonts w:hint="eastAsia" w:ascii="仿宋_GB2312" w:hAnsi="仿宋" w:eastAsia="仿宋_GB2312"/>
          <w:sz w:val="32"/>
          <w:szCs w:val="32"/>
        </w:rPr>
        <w:t>%；其他收入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万元，占</w:t>
      </w:r>
      <w:r>
        <w:rPr>
          <w:rFonts w:hint="eastAsia" w:ascii="仿宋_GB2312" w:hAnsi="仿宋" w:eastAsia="仿宋_GB2312"/>
          <w:sz w:val="32"/>
          <w:szCs w:val="32"/>
          <w:lang w:eastAsia="zh-CN"/>
        </w:rPr>
        <w:t>比</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keepNext w:val="0"/>
        <w:keepLines w:val="0"/>
        <w:pageBreakBefore w:val="0"/>
        <w:kinsoku/>
        <w:wordWrap/>
        <w:overflowPunct/>
        <w:topLinePunct w:val="0"/>
        <w:bidi w:val="0"/>
        <w:snapToGrid w:val="0"/>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（三）支出决算情况说明</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霸州市文学艺术界联合会部门</w:t>
      </w:r>
      <w:r>
        <w:rPr>
          <w:rFonts w:hint="eastAsia" w:ascii="仿宋_GB2312" w:hAnsi="仿宋" w:eastAsia="仿宋_GB2312"/>
          <w:sz w:val="32"/>
          <w:szCs w:val="32"/>
        </w:rPr>
        <w:t>2017年部门决算支出为123</w:t>
      </w:r>
      <w:r>
        <w:rPr>
          <w:rFonts w:hint="eastAsia" w:ascii="仿宋_GB2312" w:hAnsi="仿宋" w:eastAsia="仿宋_GB2312"/>
          <w:sz w:val="32"/>
          <w:szCs w:val="32"/>
          <w:lang w:val="en-US" w:eastAsia="zh-CN"/>
        </w:rPr>
        <w:t>.61</w:t>
      </w:r>
      <w:r>
        <w:rPr>
          <w:rFonts w:hint="eastAsia" w:ascii="仿宋_GB2312" w:hAnsi="仿宋" w:eastAsia="仿宋_GB2312"/>
          <w:sz w:val="32"/>
          <w:szCs w:val="32"/>
        </w:rPr>
        <w:t>万元，其中：基本支</w:t>
      </w:r>
      <w:r>
        <w:rPr>
          <w:rFonts w:hint="eastAsia" w:ascii="仿宋_GB2312" w:hAnsi="仿宋" w:eastAsia="仿宋_GB2312"/>
          <w:sz w:val="32"/>
          <w:szCs w:val="32"/>
          <w:lang w:eastAsia="zh-CN"/>
        </w:rPr>
        <w:t>出</w:t>
      </w:r>
      <w:r>
        <w:rPr>
          <w:rFonts w:hint="eastAsia" w:ascii="仿宋_GB2312" w:hAnsi="仿宋" w:eastAsia="仿宋_GB2312"/>
          <w:sz w:val="32"/>
          <w:szCs w:val="32"/>
          <w:lang w:val="en-US" w:eastAsia="zh-CN"/>
        </w:rPr>
        <w:t>11.14</w:t>
      </w:r>
      <w:r>
        <w:rPr>
          <w:rFonts w:hint="eastAsia" w:ascii="仿宋_GB2312" w:hAnsi="仿宋" w:eastAsia="仿宋_GB2312"/>
          <w:sz w:val="32"/>
          <w:szCs w:val="32"/>
        </w:rPr>
        <w:t>万元，占比</w:t>
      </w:r>
      <w:r>
        <w:rPr>
          <w:rFonts w:hint="eastAsia" w:ascii="仿宋_GB2312" w:hAnsi="仿宋" w:eastAsia="仿宋_GB2312"/>
          <w:sz w:val="32"/>
          <w:szCs w:val="32"/>
          <w:lang w:val="en-US" w:eastAsia="zh-CN"/>
        </w:rPr>
        <w:t>9.01</w:t>
      </w:r>
      <w:r>
        <w:rPr>
          <w:rFonts w:hint="eastAsia" w:ascii="仿宋_GB2312" w:hAnsi="仿宋" w:eastAsia="仿宋_GB2312"/>
          <w:sz w:val="32"/>
          <w:szCs w:val="32"/>
        </w:rPr>
        <w:t>%，包含人员经费支出</w:t>
      </w:r>
      <w:r>
        <w:rPr>
          <w:rFonts w:hint="eastAsia" w:ascii="仿宋_GB2312" w:hAnsi="仿宋" w:eastAsia="仿宋_GB2312"/>
          <w:sz w:val="32"/>
          <w:szCs w:val="32"/>
          <w:lang w:val="en-US" w:eastAsia="zh-CN"/>
        </w:rPr>
        <w:t>4.72</w:t>
      </w:r>
      <w:r>
        <w:rPr>
          <w:rFonts w:hint="eastAsia" w:ascii="仿宋_GB2312" w:hAnsi="仿宋" w:eastAsia="仿宋_GB2312"/>
          <w:sz w:val="32"/>
          <w:szCs w:val="32"/>
        </w:rPr>
        <w:t>万元和日常公用经费支出</w:t>
      </w:r>
      <w:r>
        <w:rPr>
          <w:rFonts w:hint="eastAsia" w:ascii="仿宋_GB2312" w:hAnsi="仿宋" w:eastAsia="仿宋_GB2312"/>
          <w:sz w:val="32"/>
          <w:szCs w:val="32"/>
          <w:lang w:val="en-US" w:eastAsia="zh-CN"/>
        </w:rPr>
        <w:t>6.42</w:t>
      </w:r>
      <w:r>
        <w:rPr>
          <w:rFonts w:hint="eastAsia" w:ascii="仿宋_GB2312" w:hAnsi="仿宋" w:eastAsia="仿宋_GB2312"/>
          <w:sz w:val="32"/>
          <w:szCs w:val="32"/>
        </w:rPr>
        <w:t>万元；项目支出</w:t>
      </w:r>
      <w:r>
        <w:rPr>
          <w:rFonts w:hint="eastAsia" w:ascii="仿宋_GB2312" w:hAnsi="仿宋" w:eastAsia="仿宋_GB2312"/>
          <w:sz w:val="32"/>
          <w:szCs w:val="32"/>
          <w:lang w:val="en-US" w:eastAsia="zh-CN"/>
        </w:rPr>
        <w:t>112.47</w:t>
      </w:r>
      <w:r>
        <w:rPr>
          <w:rFonts w:hint="eastAsia" w:ascii="仿宋_GB2312" w:hAnsi="仿宋" w:eastAsia="仿宋_GB2312"/>
          <w:sz w:val="32"/>
          <w:szCs w:val="32"/>
        </w:rPr>
        <w:t>万元，占比</w:t>
      </w:r>
      <w:r>
        <w:rPr>
          <w:rFonts w:hint="eastAsia" w:ascii="仿宋_GB2312" w:hAnsi="仿宋" w:eastAsia="仿宋_GB2312"/>
          <w:sz w:val="32"/>
          <w:szCs w:val="32"/>
          <w:lang w:val="en-US" w:eastAsia="zh-CN"/>
        </w:rPr>
        <w:t>90.99</w:t>
      </w:r>
      <w:r>
        <w:rPr>
          <w:rFonts w:hint="eastAsia" w:ascii="仿宋_GB2312" w:hAnsi="仿宋" w:eastAsia="仿宋_GB2312"/>
          <w:sz w:val="32"/>
          <w:szCs w:val="32"/>
        </w:rPr>
        <w:t>%。</w:t>
      </w:r>
    </w:p>
    <w:p>
      <w:pPr>
        <w:keepNext w:val="0"/>
        <w:keepLines w:val="0"/>
        <w:pageBreakBefore w:val="0"/>
        <w:kinsoku/>
        <w:wordWrap/>
        <w:overflowPunct/>
        <w:topLinePunct w:val="0"/>
        <w:bidi w:val="0"/>
        <w:snapToGrid w:val="0"/>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（四）财政拨款收入支出决算总体情况说明</w:t>
      </w:r>
    </w:p>
    <w:p>
      <w:pPr>
        <w:keepNext w:val="0"/>
        <w:keepLines w:val="0"/>
        <w:pageBreakBefore w:val="0"/>
        <w:widowControl/>
        <w:kinsoku/>
        <w:wordWrap/>
        <w:overflowPunct/>
        <w:topLinePunct w:val="0"/>
        <w:bidi w:val="0"/>
        <w:spacing w:line="560" w:lineRule="exact"/>
        <w:ind w:firstLine="643" w:firstLineChars="200"/>
        <w:textAlignment w:val="auto"/>
        <w:rPr>
          <w:rFonts w:ascii="仿宋" w:hAnsi="仿宋" w:eastAsia="仿宋" w:cs="仿宋"/>
          <w:b/>
          <w:bCs/>
          <w:color w:val="FF0000"/>
          <w:sz w:val="32"/>
          <w:szCs w:val="32"/>
        </w:rPr>
      </w:pPr>
      <w:r>
        <w:rPr>
          <w:rFonts w:hint="eastAsia" w:ascii="黑体" w:hAnsi="黑体" w:eastAsia="黑体" w:cs="黑体"/>
          <w:b/>
          <w:bCs/>
          <w:sz w:val="32"/>
        </w:rPr>
        <w:t>1、财政拨款收支与2016年度决算对比情况</w:t>
      </w:r>
    </w:p>
    <w:p>
      <w:pPr>
        <w:keepNext w:val="0"/>
        <w:keepLines w:val="0"/>
        <w:pageBreakBefore w:val="0"/>
        <w:kinsoku/>
        <w:wordWrap/>
        <w:overflowPunct/>
        <w:topLinePunct w:val="0"/>
        <w:bidi w:val="0"/>
        <w:snapToGrid w:val="0"/>
        <w:spacing w:line="560" w:lineRule="exact"/>
        <w:ind w:firstLine="640" w:firstLineChars="200"/>
        <w:textAlignment w:val="auto"/>
        <w:rPr>
          <w:rFonts w:ascii="仿宋" w:hAnsi="仿宋" w:eastAsia="仿宋" w:cs="仿宋"/>
          <w:color w:val="000000"/>
          <w:sz w:val="32"/>
        </w:rPr>
      </w:pPr>
      <w:r>
        <w:rPr>
          <w:rFonts w:hint="eastAsia" w:ascii="仿宋_GB2312" w:hAnsi="仿宋" w:eastAsia="仿宋_GB2312"/>
          <w:sz w:val="32"/>
          <w:szCs w:val="32"/>
          <w:lang w:eastAsia="zh-CN"/>
        </w:rPr>
        <w:t>霸州市文学艺术界联合会</w:t>
      </w:r>
      <w:r>
        <w:rPr>
          <w:rFonts w:hint="eastAsia" w:ascii="仿宋_GB2312" w:hAnsi="仿宋" w:eastAsia="仿宋_GB2312"/>
          <w:sz w:val="32"/>
          <w:szCs w:val="32"/>
        </w:rPr>
        <w:t>部门2017年财政拨款收入决算总计</w:t>
      </w:r>
      <w:r>
        <w:rPr>
          <w:rFonts w:hint="eastAsia" w:ascii="仿宋_GB2312" w:hAnsi="仿宋" w:eastAsia="仿宋_GB2312"/>
          <w:sz w:val="32"/>
          <w:szCs w:val="32"/>
          <w:lang w:val="en-US" w:eastAsia="zh-CN"/>
        </w:rPr>
        <w:t>35.43</w:t>
      </w:r>
      <w:r>
        <w:rPr>
          <w:rFonts w:hint="eastAsia" w:ascii="仿宋_GB2312" w:hAnsi="仿宋" w:eastAsia="仿宋_GB2312"/>
          <w:sz w:val="32"/>
          <w:szCs w:val="32"/>
        </w:rPr>
        <w:t>万元，较2016年度决算</w:t>
      </w:r>
      <w:r>
        <w:rPr>
          <w:rFonts w:hint="eastAsia" w:ascii="仿宋_GB2312" w:hAnsi="仿宋" w:eastAsia="仿宋_GB2312"/>
          <w:sz w:val="32"/>
          <w:szCs w:val="32"/>
          <w:lang w:eastAsia="zh-CN"/>
        </w:rPr>
        <w:t>减少</w:t>
      </w:r>
      <w:r>
        <w:rPr>
          <w:rFonts w:hint="eastAsia" w:ascii="仿宋_GB2312" w:hAnsi="仿宋" w:eastAsia="仿宋_GB2312"/>
          <w:sz w:val="32"/>
          <w:szCs w:val="32"/>
          <w:lang w:val="en-US" w:eastAsia="zh-CN"/>
        </w:rPr>
        <w:t>264.4</w:t>
      </w:r>
      <w:r>
        <w:rPr>
          <w:rFonts w:hint="eastAsia" w:ascii="仿宋_GB2312" w:hAnsi="仿宋" w:eastAsia="仿宋_GB2312"/>
          <w:sz w:val="32"/>
          <w:szCs w:val="32"/>
        </w:rPr>
        <w:t>万元</w:t>
      </w:r>
      <w:r>
        <w:rPr>
          <w:rFonts w:hint="eastAsia" w:ascii="仿宋_GB2312" w:hAnsi="仿宋" w:eastAsia="仿宋_GB2312"/>
          <w:sz w:val="32"/>
          <w:szCs w:val="32"/>
          <w:lang w:eastAsia="zh-CN"/>
        </w:rPr>
        <w:t>，下降</w:t>
      </w:r>
      <w:r>
        <w:rPr>
          <w:rFonts w:hint="eastAsia" w:ascii="仿宋_GB2312" w:hAnsi="仿宋" w:eastAsia="仿宋_GB2312"/>
          <w:sz w:val="32"/>
          <w:szCs w:val="32"/>
          <w:lang w:val="en-US" w:eastAsia="zh-CN"/>
        </w:rPr>
        <w:t>88.18</w:t>
      </w:r>
      <w:r>
        <w:rPr>
          <w:rFonts w:hint="eastAsia" w:ascii="仿宋_GB2312" w:hAnsi="仿宋" w:eastAsia="仿宋_GB2312"/>
          <w:sz w:val="32"/>
          <w:szCs w:val="32"/>
        </w:rPr>
        <w:t>%，主要原因</w:t>
      </w:r>
      <w:r>
        <w:rPr>
          <w:rFonts w:hint="eastAsia" w:ascii="仿宋_GB2312" w:hAnsi="仿宋" w:eastAsia="仿宋_GB2312"/>
          <w:sz w:val="32"/>
          <w:szCs w:val="32"/>
          <w:lang w:eastAsia="zh-CN"/>
        </w:rPr>
        <w:t>是</w:t>
      </w:r>
      <w:r>
        <w:rPr>
          <w:rFonts w:hint="eastAsia" w:ascii="仿宋_GB2312" w:hAnsi="仿宋" w:eastAsia="仿宋_GB2312"/>
          <w:sz w:val="32"/>
          <w:szCs w:val="32"/>
          <w:lang w:val="en-US" w:eastAsia="zh-CN"/>
        </w:rPr>
        <w:t>2017年没有《霸州历史名人馆》这一项目的收入</w:t>
      </w:r>
      <w:r>
        <w:rPr>
          <w:rFonts w:hint="eastAsia" w:ascii="仿宋_GB2312" w:hAnsi="仿宋" w:eastAsia="仿宋_GB2312"/>
          <w:sz w:val="32"/>
          <w:szCs w:val="32"/>
        </w:rPr>
        <w:t>。其中，一般公共预算拨款</w:t>
      </w:r>
      <w:r>
        <w:rPr>
          <w:rFonts w:hint="eastAsia" w:ascii="仿宋_GB2312" w:hAnsi="仿宋" w:eastAsia="仿宋_GB2312"/>
          <w:sz w:val="32"/>
          <w:szCs w:val="32"/>
          <w:lang w:eastAsia="zh-CN"/>
        </w:rPr>
        <w:t>减少</w:t>
      </w:r>
      <w:r>
        <w:rPr>
          <w:rFonts w:hint="eastAsia" w:ascii="仿宋_GB2312" w:hAnsi="仿宋" w:eastAsia="仿宋_GB2312"/>
          <w:sz w:val="32"/>
          <w:szCs w:val="32"/>
          <w:lang w:val="en-US" w:eastAsia="zh-CN"/>
        </w:rPr>
        <w:t>264.4</w:t>
      </w:r>
      <w:r>
        <w:rPr>
          <w:rFonts w:hint="eastAsia" w:ascii="仿宋_GB2312" w:hAnsi="仿宋" w:eastAsia="仿宋_GB2312"/>
          <w:sz w:val="32"/>
          <w:szCs w:val="32"/>
        </w:rPr>
        <w:t>万元，政府性基金预算财政拨款</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r>
        <w:rPr>
          <w:rFonts w:hint="eastAsia" w:ascii="仿宋_GB2312" w:hAnsi="仿宋" w:eastAsia="仿宋_GB2312"/>
          <w:sz w:val="32"/>
          <w:szCs w:val="32"/>
          <w:lang w:eastAsia="zh-CN"/>
        </w:rPr>
        <w:t>，无增减</w:t>
      </w:r>
      <w:r>
        <w:rPr>
          <w:rFonts w:hint="eastAsia" w:ascii="仿宋_GB2312" w:hAnsi="仿宋" w:eastAsia="仿宋_GB2312"/>
          <w:sz w:val="32"/>
          <w:szCs w:val="32"/>
        </w:rPr>
        <w:t>。2017年财政拨款支出决算总计123</w:t>
      </w:r>
      <w:r>
        <w:rPr>
          <w:rFonts w:hint="eastAsia" w:ascii="仿宋_GB2312" w:hAnsi="仿宋" w:eastAsia="仿宋_GB2312"/>
          <w:sz w:val="32"/>
          <w:szCs w:val="32"/>
          <w:lang w:val="en-US" w:eastAsia="zh-CN"/>
        </w:rPr>
        <w:t>.61</w:t>
      </w:r>
      <w:r>
        <w:rPr>
          <w:rFonts w:hint="eastAsia" w:ascii="仿宋_GB2312" w:hAnsi="仿宋" w:eastAsia="仿宋_GB2312"/>
          <w:sz w:val="32"/>
          <w:szCs w:val="32"/>
        </w:rPr>
        <w:t>万元，较2016年度决算</w:t>
      </w:r>
      <w:r>
        <w:rPr>
          <w:rFonts w:hint="eastAsia" w:ascii="仿宋_GB2312" w:hAnsi="仿宋" w:eastAsia="仿宋_GB2312"/>
          <w:sz w:val="32"/>
          <w:szCs w:val="32"/>
          <w:lang w:eastAsia="zh-CN"/>
        </w:rPr>
        <w:t>增长</w:t>
      </w:r>
      <w:r>
        <w:rPr>
          <w:rFonts w:hint="eastAsia" w:ascii="仿宋_GB2312" w:hAnsi="仿宋" w:eastAsia="仿宋_GB2312"/>
          <w:sz w:val="32"/>
          <w:szCs w:val="32"/>
          <w:lang w:val="en-US" w:eastAsia="zh-CN"/>
        </w:rPr>
        <w:t>18.92</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增长18.07</w:t>
      </w:r>
      <w:r>
        <w:rPr>
          <w:rFonts w:hint="eastAsia" w:ascii="仿宋_GB2312" w:hAnsi="仿宋" w:eastAsia="仿宋_GB2312"/>
          <w:sz w:val="32"/>
          <w:szCs w:val="32"/>
        </w:rPr>
        <w:t>%，主要原因是</w:t>
      </w:r>
      <w:r>
        <w:rPr>
          <w:rFonts w:hint="eastAsia" w:ascii="仿宋_GB2312" w:hAnsi="仿宋" w:eastAsia="仿宋_GB2312"/>
          <w:sz w:val="32"/>
          <w:szCs w:val="32"/>
          <w:lang w:eastAsia="zh-CN"/>
        </w:rPr>
        <w:t>我单位</w:t>
      </w:r>
      <w:r>
        <w:rPr>
          <w:rFonts w:hint="eastAsia" w:ascii="仿宋_GB2312" w:hAnsi="仿宋" w:eastAsia="仿宋_GB2312"/>
          <w:sz w:val="32"/>
          <w:szCs w:val="32"/>
        </w:rPr>
        <w:t>迁址新办公场所</w:t>
      </w:r>
      <w:r>
        <w:rPr>
          <w:rFonts w:hint="eastAsia" w:ascii="仿宋_GB2312" w:hAnsi="仿宋" w:eastAsia="仿宋_GB2312"/>
          <w:sz w:val="32"/>
          <w:szCs w:val="32"/>
          <w:lang w:eastAsia="zh-CN"/>
        </w:rPr>
        <w:t>、安装天然气管道及采暖炉、购置历史名人馆人物遗存图书、书画、遗物征集等物品并召开“第三届文学艺术界代表大会”换届会议</w:t>
      </w:r>
      <w:r>
        <w:rPr>
          <w:rFonts w:hint="eastAsia" w:ascii="仿宋_GB2312" w:hAnsi="仿宋" w:eastAsia="仿宋_GB2312"/>
          <w:sz w:val="32"/>
          <w:szCs w:val="32"/>
        </w:rPr>
        <w:t>。其中基本支出增加</w:t>
      </w:r>
      <w:r>
        <w:rPr>
          <w:rFonts w:hint="eastAsia" w:ascii="仿宋_GB2312" w:hAnsi="仿宋" w:eastAsia="仿宋_GB2312"/>
          <w:sz w:val="32"/>
          <w:szCs w:val="32"/>
          <w:lang w:val="en-US" w:eastAsia="zh-CN"/>
        </w:rPr>
        <w:t>0.13</w:t>
      </w:r>
      <w:r>
        <w:rPr>
          <w:rFonts w:hint="eastAsia" w:ascii="仿宋_GB2312" w:hAnsi="仿宋" w:eastAsia="仿宋_GB2312"/>
          <w:sz w:val="32"/>
          <w:szCs w:val="32"/>
        </w:rPr>
        <w:t>万元，项目支出增加</w:t>
      </w:r>
      <w:r>
        <w:rPr>
          <w:rFonts w:hint="eastAsia" w:ascii="仿宋_GB2312" w:hAnsi="仿宋" w:eastAsia="仿宋_GB2312"/>
          <w:sz w:val="32"/>
          <w:szCs w:val="32"/>
          <w:lang w:val="en-US" w:eastAsia="zh-CN"/>
        </w:rPr>
        <w:t>18.79</w:t>
      </w:r>
      <w:r>
        <w:rPr>
          <w:rFonts w:hint="eastAsia" w:ascii="仿宋_GB2312" w:hAnsi="仿宋" w:eastAsia="仿宋_GB2312"/>
          <w:sz w:val="32"/>
          <w:szCs w:val="32"/>
        </w:rPr>
        <w:t>万元。</w:t>
      </w:r>
    </w:p>
    <w:p>
      <w:pPr>
        <w:keepNext w:val="0"/>
        <w:keepLines w:val="0"/>
        <w:pageBreakBefore w:val="0"/>
        <w:widowControl/>
        <w:kinsoku/>
        <w:wordWrap/>
        <w:overflowPunct/>
        <w:topLinePunct w:val="0"/>
        <w:bidi w:val="0"/>
        <w:spacing w:line="560" w:lineRule="exact"/>
        <w:ind w:firstLine="643" w:firstLineChars="200"/>
        <w:textAlignment w:val="auto"/>
        <w:rPr>
          <w:rFonts w:hint="eastAsia" w:ascii="黑体" w:hAnsi="黑体" w:eastAsia="黑体" w:cs="黑体"/>
          <w:b/>
          <w:bCs/>
          <w:sz w:val="32"/>
          <w:szCs w:val="22"/>
        </w:rPr>
      </w:pPr>
      <w:r>
        <w:rPr>
          <w:rFonts w:hint="eastAsia" w:ascii="黑体" w:hAnsi="黑体" w:eastAsia="黑体" w:cs="黑体"/>
          <w:b/>
          <w:bCs/>
          <w:sz w:val="32"/>
          <w:szCs w:val="22"/>
        </w:rPr>
        <w:t>2、财政拨款收支与年初预算数对比情况</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霸州市文学艺术界联合会</w:t>
      </w:r>
      <w:r>
        <w:rPr>
          <w:rFonts w:hint="eastAsia" w:ascii="仿宋_GB2312" w:hAnsi="仿宋" w:eastAsia="仿宋_GB2312"/>
          <w:sz w:val="32"/>
          <w:szCs w:val="32"/>
        </w:rPr>
        <w:t>部门2017年财政拨款收入决算总计</w:t>
      </w:r>
      <w:r>
        <w:rPr>
          <w:rFonts w:hint="eastAsia" w:ascii="仿宋_GB2312" w:hAnsi="仿宋" w:eastAsia="仿宋_GB2312"/>
          <w:sz w:val="32"/>
          <w:szCs w:val="32"/>
          <w:lang w:val="en-US" w:eastAsia="zh-CN"/>
        </w:rPr>
        <w:t>35.43</w:t>
      </w:r>
      <w:r>
        <w:rPr>
          <w:rFonts w:hint="eastAsia" w:ascii="仿宋_GB2312" w:hAnsi="仿宋" w:eastAsia="仿宋_GB2312"/>
          <w:sz w:val="32"/>
          <w:szCs w:val="32"/>
        </w:rPr>
        <w:t>万元，较</w:t>
      </w:r>
      <w:r>
        <w:rPr>
          <w:rFonts w:hint="eastAsia" w:ascii="仿宋_GB2312" w:hAnsi="仿宋" w:eastAsia="仿宋_GB2312"/>
          <w:sz w:val="32"/>
          <w:szCs w:val="32"/>
          <w:lang w:eastAsia="zh-CN"/>
        </w:rPr>
        <w:t>年初预算增长</w:t>
      </w:r>
      <w:r>
        <w:rPr>
          <w:rFonts w:hint="eastAsia" w:ascii="仿宋_GB2312" w:hAnsi="仿宋" w:eastAsia="仿宋_GB2312"/>
          <w:sz w:val="32"/>
          <w:szCs w:val="32"/>
          <w:lang w:val="en-US" w:eastAsia="zh-CN"/>
        </w:rPr>
        <w:t>9.38万元</w:t>
      </w:r>
      <w:r>
        <w:rPr>
          <w:rFonts w:hint="eastAsia" w:ascii="仿宋_GB2312" w:hAnsi="仿宋" w:eastAsia="仿宋_GB2312"/>
          <w:sz w:val="32"/>
          <w:szCs w:val="32"/>
        </w:rPr>
        <w:t>，</w:t>
      </w:r>
      <w:r>
        <w:rPr>
          <w:rFonts w:hint="eastAsia" w:ascii="仿宋_GB2312" w:hAnsi="仿宋" w:eastAsia="仿宋_GB2312"/>
          <w:sz w:val="32"/>
          <w:szCs w:val="32"/>
          <w:lang w:eastAsia="zh-CN"/>
        </w:rPr>
        <w:t>增长</w:t>
      </w:r>
      <w:r>
        <w:rPr>
          <w:rFonts w:hint="eastAsia" w:ascii="仿宋_GB2312" w:hAnsi="仿宋" w:eastAsia="仿宋_GB2312"/>
          <w:sz w:val="32"/>
          <w:szCs w:val="32"/>
          <w:lang w:val="en-US" w:eastAsia="zh-CN"/>
        </w:rPr>
        <w:t>36.01%，主要原因</w:t>
      </w:r>
      <w:r>
        <w:rPr>
          <w:rFonts w:hint="eastAsia" w:ascii="仿宋_GB2312" w:hAnsi="仿宋" w:eastAsia="仿宋_GB2312"/>
          <w:sz w:val="32"/>
          <w:szCs w:val="32"/>
          <w:lang w:eastAsia="zh-CN"/>
        </w:rPr>
        <w:t>我单位</w:t>
      </w:r>
      <w:r>
        <w:rPr>
          <w:rFonts w:hint="eastAsia" w:ascii="仿宋_GB2312" w:hAnsi="仿宋" w:eastAsia="仿宋_GB2312"/>
          <w:sz w:val="32"/>
          <w:szCs w:val="32"/>
        </w:rPr>
        <w:t>迁址新办公场所</w:t>
      </w:r>
      <w:r>
        <w:rPr>
          <w:rFonts w:hint="eastAsia" w:ascii="仿宋_GB2312" w:hAnsi="仿宋" w:eastAsia="仿宋_GB2312"/>
          <w:sz w:val="32"/>
          <w:szCs w:val="32"/>
          <w:lang w:eastAsia="zh-CN"/>
        </w:rPr>
        <w:t>、安装天然气管道及采暖炉、购置历史名人馆人物遗存图书、书画、遗物征集等物品并召开“第三届文学艺术界代表大会”换届会议</w:t>
      </w:r>
      <w:r>
        <w:rPr>
          <w:rFonts w:hint="eastAsia" w:ascii="仿宋_GB2312" w:hAnsi="仿宋" w:eastAsia="仿宋_GB2312"/>
          <w:sz w:val="32"/>
          <w:szCs w:val="32"/>
        </w:rPr>
        <w:t>。</w:t>
      </w:r>
      <w:r>
        <w:rPr>
          <w:rFonts w:hint="eastAsia" w:ascii="仿宋_GB2312" w:hAnsi="仿宋" w:eastAsia="仿宋_GB2312"/>
          <w:sz w:val="32"/>
          <w:szCs w:val="32"/>
          <w:lang w:val="en-US" w:eastAsia="zh-CN"/>
        </w:rPr>
        <w:t>其中，</w:t>
      </w:r>
      <w:r>
        <w:rPr>
          <w:rFonts w:hint="eastAsia" w:ascii="仿宋_GB2312" w:hAnsi="仿宋" w:eastAsia="仿宋_GB2312"/>
          <w:sz w:val="32"/>
          <w:szCs w:val="32"/>
        </w:rPr>
        <w:t>一般公共预算拨款</w:t>
      </w:r>
      <w:r>
        <w:rPr>
          <w:rFonts w:hint="eastAsia" w:ascii="仿宋_GB2312" w:hAnsi="仿宋" w:eastAsia="仿宋_GB2312"/>
          <w:sz w:val="32"/>
          <w:szCs w:val="32"/>
          <w:lang w:eastAsia="zh-CN"/>
        </w:rPr>
        <w:t>增长</w:t>
      </w:r>
      <w:r>
        <w:rPr>
          <w:rFonts w:hint="eastAsia" w:ascii="仿宋_GB2312" w:hAnsi="仿宋" w:eastAsia="仿宋_GB2312"/>
          <w:sz w:val="32"/>
          <w:szCs w:val="32"/>
          <w:lang w:val="en-US" w:eastAsia="zh-CN"/>
        </w:rPr>
        <w:t>9.38万元</w:t>
      </w:r>
      <w:r>
        <w:rPr>
          <w:rFonts w:hint="eastAsia" w:ascii="仿宋_GB2312" w:hAnsi="仿宋" w:eastAsia="仿宋_GB2312"/>
          <w:sz w:val="32"/>
          <w:szCs w:val="32"/>
        </w:rPr>
        <w:t>，政府性基金预算财政拨款</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r>
        <w:rPr>
          <w:rFonts w:hint="eastAsia" w:ascii="仿宋_GB2312" w:hAnsi="仿宋" w:eastAsia="仿宋_GB2312"/>
          <w:sz w:val="32"/>
          <w:szCs w:val="32"/>
          <w:lang w:eastAsia="zh-CN"/>
        </w:rPr>
        <w:t>；</w:t>
      </w:r>
      <w:r>
        <w:rPr>
          <w:rFonts w:hint="eastAsia" w:ascii="仿宋_GB2312" w:hAnsi="仿宋" w:eastAsia="仿宋_GB2312"/>
          <w:sz w:val="32"/>
          <w:szCs w:val="32"/>
        </w:rPr>
        <w:t>2017年财政拨款支出决算总计</w:t>
      </w:r>
      <w:r>
        <w:rPr>
          <w:rFonts w:hint="eastAsia" w:ascii="仿宋_GB2312" w:hAnsi="仿宋" w:eastAsia="仿宋_GB2312"/>
          <w:sz w:val="32"/>
          <w:szCs w:val="32"/>
          <w:lang w:val="en-US" w:eastAsia="zh-CN"/>
        </w:rPr>
        <w:t>123.61</w:t>
      </w:r>
      <w:r>
        <w:rPr>
          <w:rFonts w:hint="eastAsia" w:ascii="仿宋_GB2312" w:hAnsi="仿宋" w:eastAsia="仿宋_GB2312"/>
          <w:sz w:val="32"/>
          <w:szCs w:val="32"/>
        </w:rPr>
        <w:t>万元，较年初预算增加</w:t>
      </w:r>
      <w:r>
        <w:rPr>
          <w:rFonts w:hint="eastAsia" w:ascii="仿宋_GB2312" w:hAnsi="仿宋" w:eastAsia="仿宋_GB2312"/>
          <w:sz w:val="32"/>
          <w:szCs w:val="32"/>
          <w:lang w:val="en-US" w:eastAsia="zh-CN"/>
        </w:rPr>
        <w:t>97.56</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374.51</w:t>
      </w:r>
      <w:r>
        <w:rPr>
          <w:rFonts w:hint="eastAsia" w:ascii="仿宋_GB2312" w:hAnsi="仿宋" w:eastAsia="仿宋_GB2312"/>
          <w:sz w:val="32"/>
          <w:szCs w:val="32"/>
        </w:rPr>
        <w:t>%，主要原因是</w:t>
      </w:r>
      <w:r>
        <w:rPr>
          <w:rFonts w:hint="eastAsia" w:ascii="仿宋_GB2312" w:hAnsi="仿宋" w:eastAsia="仿宋_GB2312"/>
          <w:sz w:val="32"/>
          <w:szCs w:val="32"/>
          <w:lang w:eastAsia="zh-CN"/>
        </w:rPr>
        <w:t>我单位</w:t>
      </w:r>
      <w:r>
        <w:rPr>
          <w:rFonts w:hint="eastAsia" w:ascii="仿宋_GB2312" w:hAnsi="仿宋" w:eastAsia="仿宋_GB2312"/>
          <w:sz w:val="32"/>
          <w:szCs w:val="32"/>
        </w:rPr>
        <w:t>迁址新办公场所</w:t>
      </w:r>
      <w:r>
        <w:rPr>
          <w:rFonts w:hint="eastAsia" w:ascii="仿宋_GB2312" w:hAnsi="仿宋" w:eastAsia="仿宋_GB2312"/>
          <w:sz w:val="32"/>
          <w:szCs w:val="32"/>
          <w:lang w:eastAsia="zh-CN"/>
        </w:rPr>
        <w:t>、安装天然气管道及采暖炉、购置历史名人馆人物遗存图书、书画、遗物征集等物品并召开“第三届文学艺术界代表大会”换届会议</w:t>
      </w:r>
      <w:r>
        <w:rPr>
          <w:rFonts w:hint="eastAsia" w:ascii="仿宋_GB2312" w:hAnsi="仿宋" w:eastAsia="仿宋_GB2312"/>
          <w:sz w:val="32"/>
          <w:szCs w:val="32"/>
        </w:rPr>
        <w:t>。其中基本支出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万元，项目支出</w:t>
      </w:r>
      <w:r>
        <w:rPr>
          <w:rFonts w:hint="eastAsia" w:ascii="仿宋_GB2312" w:hAnsi="仿宋" w:eastAsia="仿宋_GB2312"/>
          <w:sz w:val="32"/>
          <w:szCs w:val="32"/>
          <w:lang w:val="en-US" w:eastAsia="zh-CN"/>
        </w:rPr>
        <w:t>97.56</w:t>
      </w:r>
      <w:r>
        <w:rPr>
          <w:rFonts w:hint="eastAsia" w:ascii="仿宋_GB2312" w:hAnsi="仿宋" w:eastAsia="仿宋_GB2312"/>
          <w:sz w:val="32"/>
          <w:szCs w:val="32"/>
        </w:rPr>
        <w:t>万元。</w:t>
      </w:r>
    </w:p>
    <w:p>
      <w:pPr>
        <w:keepNext w:val="0"/>
        <w:keepLines w:val="0"/>
        <w:pageBreakBefore w:val="0"/>
        <w:kinsoku/>
        <w:wordWrap/>
        <w:overflowPunct/>
        <w:topLinePunct w:val="0"/>
        <w:bidi w:val="0"/>
        <w:snapToGrid w:val="0"/>
        <w:spacing w:line="560" w:lineRule="exact"/>
        <w:ind w:firstLine="643" w:firstLineChars="200"/>
        <w:textAlignment w:val="auto"/>
        <w:rPr>
          <w:rFonts w:ascii="楷体" w:hAnsi="楷体" w:eastAsia="楷体" w:cs="楷体"/>
          <w:b/>
          <w:bCs/>
          <w:sz w:val="32"/>
          <w:szCs w:val="32"/>
        </w:rPr>
      </w:pPr>
      <w:r>
        <w:rPr>
          <w:rFonts w:hint="eastAsia" w:ascii="黑体" w:hAnsi="黑体" w:eastAsia="黑体" w:cs="黑体"/>
          <w:b/>
          <w:bCs/>
          <w:sz w:val="32"/>
          <w:szCs w:val="32"/>
        </w:rPr>
        <w:t>（五）“三公”经费支出决算情况说明</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2017年度部门“三公”经费支出</w:t>
      </w:r>
      <w:r>
        <w:rPr>
          <w:rFonts w:hint="eastAsia" w:ascii="仿宋_GB2312" w:hAnsi="仿宋" w:eastAsia="仿宋_GB2312"/>
          <w:sz w:val="32"/>
          <w:szCs w:val="32"/>
          <w:lang w:val="en-US" w:eastAsia="zh-CN"/>
        </w:rPr>
        <w:t>2.50</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与预算持平</w:t>
      </w:r>
      <w:r>
        <w:rPr>
          <w:rFonts w:hint="eastAsia" w:ascii="仿宋_GB2312" w:hAnsi="仿宋" w:eastAsia="仿宋_GB2312"/>
          <w:sz w:val="32"/>
          <w:szCs w:val="32"/>
        </w:rPr>
        <w:t>，比2016年度决算增加</w:t>
      </w:r>
      <w:r>
        <w:rPr>
          <w:rFonts w:hint="eastAsia" w:ascii="仿宋_GB2312" w:hAnsi="仿宋" w:eastAsia="仿宋_GB2312"/>
          <w:sz w:val="32"/>
          <w:szCs w:val="32"/>
          <w:lang w:val="en-US" w:eastAsia="zh-CN"/>
        </w:rPr>
        <w:t>0.03</w:t>
      </w:r>
      <w:r>
        <w:rPr>
          <w:rFonts w:hint="eastAsia" w:ascii="仿宋_GB2312" w:hAnsi="仿宋" w:eastAsia="仿宋_GB2312"/>
          <w:sz w:val="32"/>
          <w:szCs w:val="32"/>
        </w:rPr>
        <w:t>万元。原因是</w:t>
      </w:r>
      <w:r>
        <w:rPr>
          <w:rFonts w:hint="eastAsia" w:ascii="仿宋_GB2312" w:hAnsi="仿宋" w:eastAsia="仿宋_GB2312"/>
          <w:sz w:val="32"/>
          <w:szCs w:val="32"/>
          <w:lang w:eastAsia="zh-CN"/>
        </w:rPr>
        <w:t>下乡活动比</w:t>
      </w:r>
      <w:r>
        <w:rPr>
          <w:rFonts w:hint="eastAsia" w:ascii="仿宋_GB2312" w:hAnsi="仿宋" w:eastAsia="仿宋_GB2312"/>
          <w:sz w:val="32"/>
          <w:szCs w:val="32"/>
          <w:lang w:val="en-US" w:eastAsia="zh-CN"/>
        </w:rPr>
        <w:t>2016年</w:t>
      </w:r>
      <w:r>
        <w:rPr>
          <w:rFonts w:hint="eastAsia" w:ascii="仿宋_GB2312" w:hAnsi="仿宋" w:eastAsia="仿宋_GB2312"/>
          <w:sz w:val="32"/>
          <w:szCs w:val="32"/>
          <w:lang w:eastAsia="zh-CN"/>
        </w:rPr>
        <w:t>次数增加</w:t>
      </w:r>
      <w:r>
        <w:rPr>
          <w:rFonts w:hint="eastAsia" w:ascii="仿宋_GB2312" w:hAnsi="仿宋" w:eastAsia="仿宋_GB2312"/>
          <w:sz w:val="32"/>
          <w:szCs w:val="32"/>
        </w:rPr>
        <w:t>。其中：因公出国（境）费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万元（本单位2017年度组织出国（境）团组</w:t>
      </w:r>
      <w:r>
        <w:rPr>
          <w:rFonts w:hint="eastAsia" w:ascii="仿宋_GB2312" w:hAnsi="仿宋" w:eastAsia="仿宋_GB2312"/>
          <w:sz w:val="32"/>
          <w:szCs w:val="32"/>
          <w:lang w:val="en-US" w:eastAsia="zh-CN"/>
        </w:rPr>
        <w:t>0</w:t>
      </w:r>
      <w:r>
        <w:rPr>
          <w:rFonts w:hint="eastAsia" w:ascii="仿宋_GB2312" w:hAnsi="仿宋" w:eastAsia="仿宋_GB2312"/>
          <w:sz w:val="32"/>
          <w:szCs w:val="32"/>
        </w:rPr>
        <w:t>个，因公出国（境）人次数</w:t>
      </w:r>
      <w:r>
        <w:rPr>
          <w:rFonts w:hint="eastAsia" w:ascii="仿宋_GB2312" w:hAnsi="仿宋" w:eastAsia="仿宋_GB2312"/>
          <w:sz w:val="32"/>
          <w:szCs w:val="32"/>
          <w:lang w:val="en-US" w:eastAsia="zh-CN"/>
        </w:rPr>
        <w:t>0</w:t>
      </w:r>
      <w:r>
        <w:rPr>
          <w:rFonts w:hint="eastAsia" w:ascii="仿宋_GB2312" w:hAnsi="仿宋" w:eastAsia="仿宋_GB2312"/>
          <w:sz w:val="32"/>
          <w:szCs w:val="32"/>
        </w:rPr>
        <w:t>人），</w:t>
      </w:r>
      <w:r>
        <w:rPr>
          <w:rFonts w:hint="eastAsia" w:ascii="仿宋_GB2312" w:hAnsi="仿宋" w:eastAsia="仿宋_GB2312"/>
          <w:sz w:val="32"/>
          <w:szCs w:val="32"/>
          <w:lang w:val="en-US" w:eastAsia="zh-CN"/>
        </w:rPr>
        <w:t>与预算持平</w:t>
      </w:r>
      <w:r>
        <w:rPr>
          <w:rFonts w:hint="eastAsia" w:ascii="仿宋_GB2312" w:hAnsi="仿宋" w:eastAsia="仿宋_GB2312"/>
          <w:sz w:val="32"/>
          <w:szCs w:val="32"/>
        </w:rPr>
        <w:t>，</w:t>
      </w:r>
      <w:r>
        <w:rPr>
          <w:rFonts w:hint="eastAsia" w:ascii="仿宋_GB2312" w:hAnsi="仿宋" w:eastAsia="仿宋_GB2312"/>
          <w:sz w:val="32"/>
          <w:szCs w:val="32"/>
          <w:lang w:val="en-US" w:eastAsia="zh-CN"/>
        </w:rPr>
        <w:t>与</w:t>
      </w:r>
      <w:r>
        <w:rPr>
          <w:rFonts w:hint="eastAsia" w:ascii="仿宋_GB2312" w:hAnsi="仿宋" w:eastAsia="仿宋_GB2312"/>
          <w:sz w:val="32"/>
          <w:szCs w:val="32"/>
        </w:rPr>
        <w:t>2016年度决算</w:t>
      </w:r>
      <w:r>
        <w:rPr>
          <w:rFonts w:hint="eastAsia" w:ascii="仿宋_GB2312" w:hAnsi="仿宋" w:eastAsia="仿宋_GB2312"/>
          <w:sz w:val="32"/>
          <w:szCs w:val="32"/>
          <w:lang w:val="en-US" w:eastAsia="zh-CN"/>
        </w:rPr>
        <w:t>持平</w:t>
      </w:r>
      <w:r>
        <w:rPr>
          <w:rFonts w:hint="eastAsia" w:ascii="仿宋_GB2312" w:hAnsi="仿宋" w:eastAsia="仿宋_GB2312"/>
          <w:sz w:val="32"/>
          <w:szCs w:val="32"/>
        </w:rPr>
        <w:t>，原因是认真贯彻落实中央、省、市、区关于厉行节约的各项要求，进一步从严控制“三公经费”开支；公务用车购置及运行维护费</w:t>
      </w:r>
      <w:r>
        <w:rPr>
          <w:rFonts w:hint="eastAsia" w:ascii="仿宋_GB2312" w:hAnsi="仿宋" w:eastAsia="仿宋_GB2312"/>
          <w:sz w:val="32"/>
          <w:szCs w:val="32"/>
          <w:lang w:val="en-US" w:eastAsia="zh-CN"/>
        </w:rPr>
        <w:t>2.5</w:t>
      </w:r>
      <w:r>
        <w:rPr>
          <w:rFonts w:hint="eastAsia" w:ascii="仿宋_GB2312" w:hAnsi="仿宋" w:eastAsia="仿宋_GB2312"/>
          <w:sz w:val="32"/>
          <w:szCs w:val="32"/>
        </w:rPr>
        <w:t>万元（公务用车购置数量</w:t>
      </w:r>
      <w:r>
        <w:rPr>
          <w:rFonts w:hint="eastAsia" w:ascii="仿宋_GB2312" w:hAnsi="仿宋" w:eastAsia="仿宋_GB2312"/>
          <w:sz w:val="32"/>
          <w:szCs w:val="32"/>
          <w:lang w:val="en-US" w:eastAsia="zh-CN"/>
        </w:rPr>
        <w:t>0</w:t>
      </w:r>
      <w:r>
        <w:rPr>
          <w:rFonts w:hint="eastAsia" w:ascii="仿宋_GB2312" w:hAnsi="仿宋" w:eastAsia="仿宋_GB2312"/>
          <w:sz w:val="32"/>
          <w:szCs w:val="32"/>
        </w:rPr>
        <w:t>辆，购置金额</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万元，公车运行维护费</w:t>
      </w:r>
      <w:r>
        <w:rPr>
          <w:rFonts w:hint="eastAsia" w:ascii="仿宋_GB2312" w:hAnsi="仿宋" w:eastAsia="仿宋_GB2312"/>
          <w:sz w:val="32"/>
          <w:szCs w:val="32"/>
          <w:lang w:val="en-US" w:eastAsia="zh-CN"/>
        </w:rPr>
        <w:t>2.5</w:t>
      </w:r>
      <w:r>
        <w:rPr>
          <w:rFonts w:hint="eastAsia" w:ascii="仿宋_GB2312" w:hAnsi="仿宋" w:eastAsia="仿宋_GB2312"/>
          <w:sz w:val="32"/>
          <w:szCs w:val="32"/>
        </w:rPr>
        <w:t>万元，年末公务用车保有量</w:t>
      </w:r>
      <w:r>
        <w:rPr>
          <w:rFonts w:hint="eastAsia" w:ascii="仿宋_GB2312" w:hAnsi="仿宋" w:eastAsia="仿宋_GB2312"/>
          <w:sz w:val="32"/>
          <w:szCs w:val="32"/>
          <w:lang w:val="en-US" w:eastAsia="zh-CN"/>
        </w:rPr>
        <w:t>1</w:t>
      </w:r>
      <w:r>
        <w:rPr>
          <w:rFonts w:hint="eastAsia" w:ascii="仿宋_GB2312" w:hAnsi="仿宋" w:eastAsia="仿宋_GB2312"/>
          <w:sz w:val="32"/>
          <w:szCs w:val="32"/>
        </w:rPr>
        <w:t>辆），</w:t>
      </w:r>
      <w:r>
        <w:rPr>
          <w:rFonts w:hint="eastAsia" w:ascii="仿宋_GB2312" w:hAnsi="仿宋" w:eastAsia="仿宋_GB2312"/>
          <w:sz w:val="32"/>
          <w:szCs w:val="32"/>
          <w:lang w:val="en-US" w:eastAsia="zh-CN"/>
        </w:rPr>
        <w:t>与预算持平</w:t>
      </w:r>
      <w:r>
        <w:rPr>
          <w:rFonts w:hint="eastAsia" w:ascii="仿宋_GB2312" w:hAnsi="仿宋" w:eastAsia="仿宋_GB2312"/>
          <w:sz w:val="32"/>
          <w:szCs w:val="32"/>
        </w:rPr>
        <w:t>，比2016年度决算增加</w:t>
      </w:r>
      <w:r>
        <w:rPr>
          <w:rFonts w:hint="eastAsia" w:ascii="仿宋_GB2312" w:hAnsi="仿宋" w:eastAsia="仿宋_GB2312"/>
          <w:sz w:val="32"/>
          <w:szCs w:val="32"/>
          <w:lang w:val="en-US" w:eastAsia="zh-CN"/>
        </w:rPr>
        <w:t>0.03</w:t>
      </w:r>
      <w:r>
        <w:rPr>
          <w:rFonts w:hint="eastAsia" w:ascii="仿宋_GB2312" w:hAnsi="仿宋" w:eastAsia="仿宋_GB2312"/>
          <w:sz w:val="32"/>
          <w:szCs w:val="32"/>
        </w:rPr>
        <w:t>万元，原因是</w:t>
      </w:r>
      <w:r>
        <w:rPr>
          <w:rFonts w:hint="eastAsia" w:ascii="仿宋_GB2312" w:hAnsi="仿宋" w:eastAsia="仿宋_GB2312"/>
          <w:sz w:val="32"/>
          <w:szCs w:val="32"/>
          <w:lang w:eastAsia="zh-CN"/>
        </w:rPr>
        <w:t>下乡活动比</w:t>
      </w:r>
      <w:r>
        <w:rPr>
          <w:rFonts w:hint="eastAsia" w:ascii="仿宋_GB2312" w:hAnsi="仿宋" w:eastAsia="仿宋_GB2312"/>
          <w:sz w:val="32"/>
          <w:szCs w:val="32"/>
          <w:lang w:val="en-US" w:eastAsia="zh-CN"/>
        </w:rPr>
        <w:t>2016年</w:t>
      </w:r>
      <w:r>
        <w:rPr>
          <w:rFonts w:hint="eastAsia" w:ascii="仿宋_GB2312" w:hAnsi="仿宋" w:eastAsia="仿宋_GB2312"/>
          <w:sz w:val="32"/>
          <w:szCs w:val="32"/>
          <w:lang w:eastAsia="zh-CN"/>
        </w:rPr>
        <w:t>次数增加</w:t>
      </w:r>
      <w:r>
        <w:rPr>
          <w:rFonts w:hint="eastAsia" w:ascii="仿宋_GB2312" w:hAnsi="仿宋" w:eastAsia="仿宋_GB2312"/>
          <w:sz w:val="32"/>
          <w:szCs w:val="32"/>
        </w:rPr>
        <w:t>；公务接待费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万元（2017年度国内公务接待</w:t>
      </w:r>
      <w:r>
        <w:rPr>
          <w:rFonts w:hint="eastAsia" w:ascii="仿宋_GB2312" w:hAnsi="仿宋" w:eastAsia="仿宋_GB2312"/>
          <w:sz w:val="32"/>
          <w:szCs w:val="32"/>
          <w:lang w:val="en-US" w:eastAsia="zh-CN"/>
        </w:rPr>
        <w:t>0</w:t>
      </w:r>
      <w:r>
        <w:rPr>
          <w:rFonts w:hint="eastAsia" w:ascii="仿宋_GB2312" w:hAnsi="仿宋" w:eastAsia="仿宋_GB2312"/>
          <w:sz w:val="32"/>
          <w:szCs w:val="32"/>
        </w:rPr>
        <w:t>批次，合计接待</w:t>
      </w:r>
      <w:r>
        <w:rPr>
          <w:rFonts w:hint="eastAsia" w:ascii="仿宋_GB2312" w:hAnsi="仿宋" w:eastAsia="仿宋_GB2312"/>
          <w:sz w:val="32"/>
          <w:szCs w:val="32"/>
          <w:lang w:val="en-US" w:eastAsia="zh-CN"/>
        </w:rPr>
        <w:t>0</w:t>
      </w:r>
      <w:r>
        <w:rPr>
          <w:rFonts w:hint="eastAsia" w:ascii="仿宋_GB2312" w:hAnsi="仿宋" w:eastAsia="仿宋_GB2312"/>
          <w:sz w:val="32"/>
          <w:szCs w:val="32"/>
        </w:rPr>
        <w:t>人次），</w:t>
      </w:r>
      <w:r>
        <w:rPr>
          <w:rFonts w:hint="eastAsia" w:ascii="仿宋_GB2312" w:hAnsi="仿宋" w:eastAsia="仿宋_GB2312"/>
          <w:sz w:val="32"/>
          <w:szCs w:val="32"/>
          <w:lang w:val="en-US" w:eastAsia="zh-CN"/>
        </w:rPr>
        <w:t>与预算持平</w:t>
      </w:r>
      <w:r>
        <w:rPr>
          <w:rFonts w:hint="eastAsia" w:ascii="仿宋_GB2312" w:hAnsi="仿宋" w:eastAsia="仿宋_GB2312"/>
          <w:sz w:val="32"/>
          <w:szCs w:val="32"/>
        </w:rPr>
        <w:t>，</w:t>
      </w:r>
      <w:r>
        <w:rPr>
          <w:rFonts w:hint="eastAsia" w:ascii="仿宋_GB2312" w:hAnsi="仿宋" w:eastAsia="仿宋_GB2312"/>
          <w:sz w:val="32"/>
          <w:szCs w:val="32"/>
          <w:lang w:val="en-US" w:eastAsia="zh-CN"/>
        </w:rPr>
        <w:t>与</w:t>
      </w:r>
      <w:r>
        <w:rPr>
          <w:rFonts w:hint="eastAsia" w:ascii="仿宋_GB2312" w:hAnsi="仿宋" w:eastAsia="仿宋_GB2312"/>
          <w:sz w:val="32"/>
          <w:szCs w:val="32"/>
        </w:rPr>
        <w:t>2016年度决算</w:t>
      </w:r>
      <w:r>
        <w:rPr>
          <w:rFonts w:hint="eastAsia" w:ascii="仿宋_GB2312" w:hAnsi="仿宋" w:eastAsia="仿宋_GB2312"/>
          <w:sz w:val="32"/>
          <w:szCs w:val="32"/>
          <w:lang w:val="en-US" w:eastAsia="zh-CN"/>
        </w:rPr>
        <w:t>持平</w:t>
      </w:r>
      <w:r>
        <w:rPr>
          <w:rFonts w:hint="eastAsia" w:ascii="仿宋_GB2312" w:hAnsi="仿宋" w:eastAsia="仿宋_GB2312"/>
          <w:sz w:val="32"/>
          <w:szCs w:val="32"/>
        </w:rPr>
        <w:t>，原因是认真贯彻落实中央、省、市、区关于厉行节约的各项要求，进一步从严控制“三公经费”开支。</w:t>
      </w:r>
    </w:p>
    <w:p>
      <w:pPr>
        <w:keepNext w:val="0"/>
        <w:keepLines w:val="0"/>
        <w:pageBreakBefore w:val="0"/>
        <w:kinsoku/>
        <w:wordWrap/>
        <w:overflowPunct/>
        <w:topLinePunct w:val="0"/>
        <w:bidi w:val="0"/>
        <w:snapToGrid w:val="0"/>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（六）预算绩效管理工作开展情况说明</w:t>
      </w:r>
    </w:p>
    <w:p>
      <w:pPr>
        <w:keepNext w:val="0"/>
        <w:keepLines w:val="0"/>
        <w:pageBreakBefore w:val="0"/>
        <w:kinsoku/>
        <w:wordWrap/>
        <w:overflowPunct/>
        <w:topLinePunct w:val="0"/>
        <w:autoSpaceDE w:val="0"/>
        <w:autoSpaceDN w:val="0"/>
        <w:bidi w:val="0"/>
        <w:snapToGrid w:val="0"/>
        <w:spacing w:line="560" w:lineRule="exact"/>
        <w:ind w:firstLine="643" w:firstLineChars="200"/>
        <w:textAlignment w:val="auto"/>
        <w:rPr>
          <w:rFonts w:hint="eastAsia" w:ascii="黑体" w:hAnsi="黑体" w:eastAsia="黑体" w:cs="黑体"/>
          <w:b/>
          <w:bCs/>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1、预算绩效管理工作开展情况</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201</w:t>
      </w:r>
      <w:r>
        <w:rPr>
          <w:rFonts w:hint="eastAsia" w:ascii="仿宋_GB2312" w:hAnsi="仿宋" w:eastAsia="仿宋_GB2312"/>
          <w:sz w:val="32"/>
          <w:szCs w:val="32"/>
          <w:lang w:val="en-US" w:eastAsia="zh-CN"/>
        </w:rPr>
        <w:t>7</w:t>
      </w:r>
      <w:r>
        <w:rPr>
          <w:rFonts w:hint="eastAsia" w:ascii="仿宋_GB2312" w:hAnsi="仿宋" w:eastAsia="仿宋_GB2312"/>
          <w:sz w:val="32"/>
          <w:szCs w:val="32"/>
        </w:rPr>
        <w:t>年霸州市文学艺术界联合会实现绩效目标，召开了协会会议，加强会员管理，举办会员活动，建设文艺人才资源库，组织文艺培训，提高广大文艺工作者的政治、业务素质；提高广大文艺工作者素质，推进各门类艺术业务联络与活动；组织艺术家深入生活，打造一批体现时代精神，具有霸州特色的艺术精品。举办研讨、展示、展演、评奖活动，积极申报廊坊及以上文艺奖项，组织好各级评奖，推介霸州名家名品，组织搞好霸州历史文化研究及相关工作任务，弘扬优秀传统文化，推动文化强市建设。广泛利用媒体多形式推介优秀作品和人才，营造积极向上的文化氛围。发挥独特优势，整合资源，积极参加国内、国际性文化交流活动，广泛开展对外、对内和民间文艺交流，提升霸州文化的凝聚力和影响力；鼓励艺术家积极参加各级文艺作品展示评奖活动，通过组织书画笔会、交流、展示活动，扩大书画人才队伍，提升霸州书画品牌知名度，丰富市民文化生活。</w:t>
      </w:r>
    </w:p>
    <w:p>
      <w:pPr>
        <w:keepNext w:val="0"/>
        <w:keepLines w:val="0"/>
        <w:pageBreakBefore w:val="0"/>
        <w:numPr>
          <w:ilvl w:val="0"/>
          <w:numId w:val="3"/>
        </w:numPr>
        <w:kinsoku/>
        <w:wordWrap/>
        <w:overflowPunct/>
        <w:topLinePunct w:val="0"/>
        <w:autoSpaceDE w:val="0"/>
        <w:autoSpaceDN w:val="0"/>
        <w:bidi w:val="0"/>
        <w:snapToGrid w:val="0"/>
        <w:spacing w:line="560" w:lineRule="exact"/>
        <w:ind w:firstLine="643" w:firstLineChars="200"/>
        <w:textAlignment w:val="auto"/>
        <w:rPr>
          <w:rFonts w:hint="eastAsia" w:ascii="黑体" w:hAnsi="黑体" w:eastAsia="黑体" w:cs="黑体"/>
          <w:b/>
          <w:bCs/>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预算项目绩效评价开展情况</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我部门2017年度开展了项目绩效评价工作，由办公室牵头组织项目绩效考评工作，下达项目绩效考评通知，跟踪了解项目绩效考评工作实施情况，做好项目绩效考评经验总结及交流宣传工作，探索绩效考评结果公示及应用机制，做好相关股室、单位间的协调工作，最后形成预算绩效项目考评工作总结材料。</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黑体" w:hAnsi="黑体" w:eastAsia="黑体" w:cs="黑体"/>
          <w:b/>
          <w:bCs/>
          <w:color w:val="000000"/>
          <w:kern w:val="0"/>
          <w:sz w:val="32"/>
          <w:szCs w:val="32"/>
          <w:shd w:val="clear" w:color="auto" w:fill="FFFFFF"/>
        </w:rPr>
      </w:pPr>
      <w:r>
        <w:rPr>
          <w:rFonts w:hint="eastAsia" w:ascii="仿宋_GB2312" w:hAnsi="仿宋" w:eastAsia="仿宋_GB2312"/>
          <w:sz w:val="32"/>
          <w:szCs w:val="32"/>
        </w:rPr>
        <w:t>按照市财政预算绩效管理要求，对2017年</w:t>
      </w:r>
      <w:r>
        <w:rPr>
          <w:rFonts w:hint="eastAsia" w:ascii="仿宋_GB2312" w:hAnsi="仿宋" w:eastAsia="仿宋_GB2312"/>
          <w:sz w:val="32"/>
          <w:szCs w:val="32"/>
          <w:lang w:eastAsia="zh-CN"/>
        </w:rPr>
        <w:t>我</w:t>
      </w:r>
      <w:r>
        <w:rPr>
          <w:rFonts w:hint="eastAsia" w:ascii="仿宋_GB2312" w:hAnsi="仿宋" w:eastAsia="仿宋_GB2312"/>
          <w:sz w:val="32"/>
          <w:szCs w:val="32"/>
        </w:rPr>
        <w:t>部门</w:t>
      </w:r>
      <w:r>
        <w:rPr>
          <w:rFonts w:hint="eastAsia" w:ascii="仿宋_GB2312" w:hAnsi="仿宋" w:eastAsia="仿宋_GB2312"/>
          <w:sz w:val="32"/>
          <w:szCs w:val="32"/>
          <w:lang w:eastAsia="zh-CN"/>
        </w:rPr>
        <w:t>绩效预算执行情况</w:t>
      </w:r>
      <w:r>
        <w:rPr>
          <w:rFonts w:hint="eastAsia" w:ascii="仿宋_GB2312" w:hAnsi="仿宋" w:eastAsia="仿宋_GB2312"/>
          <w:sz w:val="32"/>
          <w:szCs w:val="32"/>
        </w:rPr>
        <w:t>全面开展了自评</w:t>
      </w:r>
      <w:r>
        <w:rPr>
          <w:rFonts w:hint="eastAsia" w:ascii="仿宋_GB2312" w:hAnsi="仿宋" w:eastAsia="仿宋_GB2312"/>
          <w:sz w:val="32"/>
          <w:szCs w:val="32"/>
          <w:lang w:eastAsia="zh-CN"/>
        </w:rPr>
        <w:t>，</w:t>
      </w:r>
      <w:r>
        <w:rPr>
          <w:rFonts w:hint="eastAsia" w:ascii="仿宋_GB2312" w:hAnsi="仿宋" w:eastAsia="仿宋_GB2312"/>
          <w:sz w:val="32"/>
          <w:szCs w:val="32"/>
        </w:rPr>
        <w:t>精心抓好霸州历史名人馆建设项目</w:t>
      </w:r>
      <w:r>
        <w:rPr>
          <w:rFonts w:hint="eastAsia" w:ascii="仿宋_GB2312" w:hAnsi="仿宋" w:eastAsia="仿宋_GB2312"/>
          <w:sz w:val="32"/>
          <w:szCs w:val="32"/>
          <w:lang w:eastAsia="zh-CN"/>
        </w:rPr>
        <w:t>，</w:t>
      </w:r>
      <w:r>
        <w:rPr>
          <w:rFonts w:hint="eastAsia" w:ascii="仿宋_GB2312" w:hAnsi="仿宋" w:eastAsia="仿宋_GB2312"/>
          <w:sz w:val="32"/>
          <w:szCs w:val="32"/>
        </w:rPr>
        <w:t>改善《霸州文苑》的内容板块设置，提高装帧水平，重点推出霸州文学新人新作，把《霸州文苑》办成优秀文学期刊。</w:t>
      </w:r>
      <w:bookmarkStart w:id="0" w:name="_GoBack"/>
      <w:bookmarkEnd w:id="0"/>
      <w:r>
        <w:rPr>
          <w:rFonts w:hint="eastAsia" w:ascii="仿宋_GB2312" w:hAnsi="仿宋" w:eastAsia="仿宋_GB2312"/>
          <w:sz w:val="32"/>
          <w:szCs w:val="32"/>
          <w:lang w:eastAsia="zh-CN"/>
        </w:rPr>
        <w:t>自评结果为</w:t>
      </w:r>
      <w:r>
        <w:rPr>
          <w:rFonts w:hint="eastAsia" w:ascii="仿宋_GB2312" w:hAnsi="仿宋" w:eastAsia="仿宋_GB2312"/>
          <w:sz w:val="32"/>
          <w:szCs w:val="32"/>
          <w:lang w:val="en-US" w:eastAsia="zh-CN"/>
        </w:rPr>
        <w:t>良好</w:t>
      </w:r>
      <w:r>
        <w:rPr>
          <w:rFonts w:hint="eastAsia" w:ascii="仿宋_GB2312" w:hAnsi="仿宋" w:eastAsia="仿宋_GB2312"/>
          <w:sz w:val="32"/>
          <w:szCs w:val="32"/>
          <w:lang w:eastAsia="zh-CN"/>
        </w:rPr>
        <w:t>。我</w:t>
      </w:r>
      <w:r>
        <w:rPr>
          <w:rFonts w:hint="eastAsia" w:ascii="仿宋_GB2312" w:hAnsi="仿宋" w:eastAsia="仿宋_GB2312"/>
          <w:sz w:val="32"/>
          <w:szCs w:val="32"/>
        </w:rPr>
        <w:t>部门对</w:t>
      </w:r>
      <w:r>
        <w:rPr>
          <w:rFonts w:hint="eastAsia" w:ascii="仿宋_GB2312" w:hAnsi="仿宋" w:eastAsia="仿宋_GB2312"/>
          <w:sz w:val="32"/>
          <w:szCs w:val="32"/>
          <w:lang w:eastAsia="zh-CN"/>
        </w:rPr>
        <w:t>预算绩效</w:t>
      </w:r>
      <w:r>
        <w:rPr>
          <w:rFonts w:hint="eastAsia" w:ascii="仿宋_GB2312" w:hAnsi="仿宋" w:eastAsia="仿宋_GB2312"/>
          <w:sz w:val="32"/>
          <w:szCs w:val="32"/>
        </w:rPr>
        <w:t>评价结果进行认真分析，对管理中存在的问题，提出改进措施。</w:t>
      </w:r>
      <w:r>
        <w:rPr>
          <w:rFonts w:hint="eastAsia" w:ascii="仿宋_GB2312" w:hAnsi="仿宋" w:eastAsia="仿宋_GB2312"/>
          <w:sz w:val="32"/>
          <w:szCs w:val="32"/>
          <w:lang w:eastAsia="zh-CN"/>
        </w:rPr>
        <w:t>预算绩效管理工作有效的</w:t>
      </w:r>
      <w:r>
        <w:rPr>
          <w:rFonts w:hint="eastAsia" w:ascii="仿宋_GB2312" w:hAnsi="仿宋" w:eastAsia="仿宋_GB2312"/>
          <w:sz w:val="32"/>
          <w:szCs w:val="32"/>
        </w:rPr>
        <w:t>减少了</w:t>
      </w:r>
      <w:r>
        <w:rPr>
          <w:rFonts w:hint="eastAsia" w:ascii="仿宋_GB2312" w:hAnsi="仿宋" w:eastAsia="仿宋_GB2312"/>
          <w:sz w:val="32"/>
          <w:szCs w:val="32"/>
          <w:lang w:eastAsia="zh-CN"/>
        </w:rPr>
        <w:t>我部门</w:t>
      </w:r>
      <w:r>
        <w:rPr>
          <w:rFonts w:hint="eastAsia" w:ascii="仿宋_GB2312" w:hAnsi="仿宋" w:eastAsia="仿宋_GB2312"/>
          <w:sz w:val="32"/>
          <w:szCs w:val="32"/>
        </w:rPr>
        <w:t>资金使用管理中的损失浪费现象，使资金达到</w:t>
      </w:r>
      <w:r>
        <w:rPr>
          <w:rFonts w:hint="eastAsia" w:ascii="仿宋_GB2312" w:hAnsi="仿宋" w:eastAsia="仿宋_GB2312"/>
          <w:sz w:val="32"/>
          <w:szCs w:val="32"/>
          <w:lang w:eastAsia="zh-CN"/>
        </w:rPr>
        <w:t>了</w:t>
      </w:r>
      <w:r>
        <w:rPr>
          <w:rFonts w:hint="eastAsia" w:ascii="仿宋_GB2312" w:hAnsi="仿宋" w:eastAsia="仿宋_GB2312"/>
          <w:sz w:val="32"/>
          <w:szCs w:val="32"/>
        </w:rPr>
        <w:t>合理、优化配给。</w:t>
      </w:r>
    </w:p>
    <w:p>
      <w:pPr>
        <w:keepNext w:val="0"/>
        <w:keepLines w:val="0"/>
        <w:pageBreakBefore w:val="0"/>
        <w:kinsoku/>
        <w:wordWrap/>
        <w:overflowPunct/>
        <w:topLinePunct w:val="0"/>
        <w:bidi w:val="0"/>
        <w:snapToGrid w:val="0"/>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（七）其他重要事项的说明</w:t>
      </w:r>
    </w:p>
    <w:p>
      <w:pPr>
        <w:keepNext w:val="0"/>
        <w:keepLines w:val="0"/>
        <w:pageBreakBefore w:val="0"/>
        <w:widowControl/>
        <w:kinsoku/>
        <w:wordWrap/>
        <w:overflowPunct/>
        <w:topLinePunct w:val="0"/>
        <w:bidi w:val="0"/>
        <w:spacing w:line="560" w:lineRule="exact"/>
        <w:ind w:firstLine="643" w:firstLineChars="200"/>
        <w:textAlignment w:val="auto"/>
        <w:rPr>
          <w:rFonts w:hint="eastAsia" w:ascii="仿宋_GB2312" w:hAnsi="仿宋" w:eastAsia="仿宋_GB2312"/>
          <w:sz w:val="32"/>
          <w:szCs w:val="32"/>
        </w:rPr>
      </w:pPr>
      <w:r>
        <w:rPr>
          <w:rFonts w:eastAsia="仿宋_GB2312"/>
          <w:b/>
          <w:bCs/>
          <w:sz w:val="32"/>
          <w:szCs w:val="32"/>
        </w:rPr>
        <w:t>1</w:t>
      </w:r>
      <w:r>
        <w:rPr>
          <w:rFonts w:hint="eastAsia" w:eastAsia="仿宋_GB2312"/>
          <w:b/>
          <w:bCs/>
          <w:sz w:val="32"/>
          <w:szCs w:val="32"/>
        </w:rPr>
        <w:t>、</w:t>
      </w:r>
      <w:r>
        <w:rPr>
          <w:rFonts w:eastAsia="仿宋_GB2312"/>
          <w:b/>
          <w:bCs/>
          <w:sz w:val="32"/>
          <w:szCs w:val="32"/>
        </w:rPr>
        <w:t>机关运行经费情况</w:t>
      </w:r>
      <w:r>
        <w:rPr>
          <w:rFonts w:hint="eastAsia" w:eastAsia="仿宋_GB2312"/>
          <w:b/>
          <w:bCs/>
          <w:sz w:val="32"/>
          <w:szCs w:val="32"/>
        </w:rPr>
        <w:t>：</w:t>
      </w:r>
      <w:r>
        <w:rPr>
          <w:rFonts w:hint="eastAsia" w:ascii="仿宋_GB2312" w:hAnsi="仿宋" w:eastAsia="仿宋_GB2312"/>
          <w:sz w:val="32"/>
          <w:szCs w:val="32"/>
        </w:rPr>
        <w:t>2017年度部门机关运行经费支出</w:t>
      </w:r>
      <w:r>
        <w:rPr>
          <w:rFonts w:hint="eastAsia" w:ascii="仿宋_GB2312" w:hAnsi="仿宋" w:eastAsia="仿宋_GB2312"/>
          <w:sz w:val="32"/>
          <w:szCs w:val="32"/>
          <w:lang w:val="en-US" w:eastAsia="zh-CN"/>
        </w:rPr>
        <w:t>6.42</w:t>
      </w:r>
      <w:r>
        <w:rPr>
          <w:rFonts w:hint="eastAsia" w:ascii="仿宋_GB2312" w:hAnsi="仿宋" w:eastAsia="仿宋_GB2312"/>
          <w:sz w:val="32"/>
          <w:szCs w:val="32"/>
        </w:rPr>
        <w:t>万元，比2016年度增加</w:t>
      </w:r>
      <w:r>
        <w:rPr>
          <w:rFonts w:hint="eastAsia" w:ascii="仿宋_GB2312" w:hAnsi="仿宋" w:eastAsia="仿宋_GB2312"/>
          <w:sz w:val="32"/>
          <w:szCs w:val="32"/>
          <w:lang w:val="en-US" w:eastAsia="zh-CN"/>
        </w:rPr>
        <w:t>0.13</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2.07</w:t>
      </w:r>
      <w:r>
        <w:rPr>
          <w:rFonts w:hint="eastAsia" w:ascii="仿宋_GB2312" w:hAnsi="仿宋" w:eastAsia="仿宋_GB2312"/>
          <w:sz w:val="32"/>
          <w:szCs w:val="32"/>
        </w:rPr>
        <w:t>%。主要原因是办公费、邮电费、取暖费、维修维护费、劳务费等增加造成的。</w:t>
      </w:r>
    </w:p>
    <w:p>
      <w:pPr>
        <w:keepNext w:val="0"/>
        <w:keepLines w:val="0"/>
        <w:pageBreakBefore w:val="0"/>
        <w:kinsoku/>
        <w:wordWrap/>
        <w:overflowPunct/>
        <w:topLinePunct w:val="0"/>
        <w:autoSpaceDE w:val="0"/>
        <w:autoSpaceDN w:val="0"/>
        <w:bidi w:val="0"/>
        <w:snapToGrid w:val="0"/>
        <w:spacing w:line="560" w:lineRule="exact"/>
        <w:ind w:firstLine="643" w:firstLineChars="200"/>
        <w:textAlignment w:val="auto"/>
        <w:rPr>
          <w:rFonts w:hint="eastAsia" w:ascii="仿宋_GB2312" w:hAnsi="仿宋" w:eastAsia="仿宋_GB2312"/>
          <w:sz w:val="32"/>
          <w:szCs w:val="32"/>
        </w:rPr>
      </w:pPr>
      <w:r>
        <w:rPr>
          <w:rFonts w:eastAsia="仿宋_GB2312"/>
          <w:b/>
          <w:bCs/>
          <w:sz w:val="32"/>
          <w:szCs w:val="32"/>
        </w:rPr>
        <w:t>2</w:t>
      </w:r>
      <w:r>
        <w:rPr>
          <w:rFonts w:hint="eastAsia" w:eastAsia="仿宋_GB2312"/>
          <w:b/>
          <w:bCs/>
          <w:sz w:val="32"/>
          <w:szCs w:val="32"/>
        </w:rPr>
        <w:t>、</w:t>
      </w:r>
      <w:r>
        <w:rPr>
          <w:rFonts w:eastAsia="仿宋_GB2312"/>
          <w:b/>
          <w:bCs/>
          <w:sz w:val="32"/>
          <w:szCs w:val="32"/>
        </w:rPr>
        <w:t>政府采购情况</w:t>
      </w:r>
      <w:r>
        <w:rPr>
          <w:rFonts w:hint="eastAsia" w:eastAsia="仿宋_GB2312"/>
          <w:b/>
          <w:bCs/>
          <w:sz w:val="32"/>
          <w:szCs w:val="32"/>
        </w:rPr>
        <w:t>：</w:t>
      </w:r>
      <w:r>
        <w:rPr>
          <w:rFonts w:hint="eastAsia" w:ascii="仿宋_GB2312" w:hAnsi="仿宋" w:eastAsia="仿宋_GB2312"/>
          <w:sz w:val="32"/>
          <w:szCs w:val="32"/>
        </w:rPr>
        <w:t>2017年度部门政府采购支出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万元，其中：政府采购货物支出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万元，政府采购工程支出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万元，政府采购服务支出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keepNext w:val="0"/>
        <w:keepLines w:val="0"/>
        <w:pageBreakBefore w:val="0"/>
        <w:widowControl/>
        <w:kinsoku/>
        <w:wordWrap/>
        <w:overflowPunct/>
        <w:topLinePunct w:val="0"/>
        <w:bidi w:val="0"/>
        <w:spacing w:line="560" w:lineRule="exact"/>
        <w:ind w:firstLine="643" w:firstLineChars="200"/>
        <w:textAlignment w:val="auto"/>
        <w:rPr>
          <w:rFonts w:hint="eastAsia" w:ascii="仿宋_GB2312" w:hAnsi="仿宋" w:eastAsia="仿宋_GB2312"/>
          <w:sz w:val="32"/>
          <w:szCs w:val="32"/>
        </w:rPr>
      </w:pPr>
      <w:r>
        <w:rPr>
          <w:rFonts w:eastAsia="仿宋_GB2312"/>
          <w:b/>
          <w:bCs/>
          <w:sz w:val="32"/>
          <w:szCs w:val="32"/>
        </w:rPr>
        <w:t>3</w:t>
      </w:r>
      <w:r>
        <w:rPr>
          <w:rFonts w:hint="eastAsia" w:eastAsia="仿宋_GB2312"/>
          <w:b/>
          <w:bCs/>
          <w:sz w:val="32"/>
          <w:szCs w:val="32"/>
        </w:rPr>
        <w:t>、</w:t>
      </w:r>
      <w:r>
        <w:rPr>
          <w:rFonts w:eastAsia="仿宋_GB2312"/>
          <w:b/>
          <w:bCs/>
          <w:sz w:val="32"/>
          <w:szCs w:val="32"/>
        </w:rPr>
        <w:t>国有资产占用情况</w:t>
      </w:r>
      <w:r>
        <w:rPr>
          <w:rFonts w:hint="eastAsia" w:eastAsia="仿宋_GB2312"/>
          <w:b/>
          <w:bCs/>
          <w:sz w:val="32"/>
          <w:szCs w:val="32"/>
        </w:rPr>
        <w:t>:</w:t>
      </w:r>
      <w:r>
        <w:rPr>
          <w:rFonts w:hint="eastAsia" w:ascii="仿宋_GB2312" w:hAnsi="仿宋" w:eastAsia="仿宋_GB2312"/>
          <w:sz w:val="32"/>
          <w:szCs w:val="32"/>
        </w:rPr>
        <w:t>截至2017年12月31日，本部门共有车辆</w:t>
      </w:r>
      <w:r>
        <w:rPr>
          <w:rFonts w:hint="eastAsia" w:ascii="仿宋_GB2312" w:hAnsi="仿宋" w:eastAsia="仿宋_GB2312"/>
          <w:sz w:val="32"/>
          <w:szCs w:val="32"/>
          <w:lang w:val="en-US" w:eastAsia="zh-CN"/>
        </w:rPr>
        <w:t>1</w:t>
      </w:r>
      <w:r>
        <w:rPr>
          <w:rFonts w:hint="eastAsia" w:ascii="仿宋_GB2312" w:hAnsi="仿宋" w:eastAsia="仿宋_GB2312"/>
          <w:sz w:val="32"/>
          <w:szCs w:val="32"/>
        </w:rPr>
        <w:t>辆，其中，一般公务用车</w:t>
      </w:r>
      <w:r>
        <w:rPr>
          <w:rFonts w:hint="eastAsia" w:ascii="仿宋_GB2312" w:hAnsi="仿宋" w:eastAsia="仿宋_GB2312"/>
          <w:sz w:val="32"/>
          <w:szCs w:val="32"/>
          <w:lang w:val="en-US" w:eastAsia="zh-CN"/>
        </w:rPr>
        <w:t>1</w:t>
      </w:r>
      <w:r>
        <w:rPr>
          <w:rFonts w:hint="eastAsia" w:ascii="仿宋_GB2312" w:hAnsi="仿宋" w:eastAsia="仿宋_GB2312"/>
          <w:sz w:val="32"/>
          <w:szCs w:val="32"/>
        </w:rPr>
        <w:t>辆；单位价值50万元以上通用设备</w:t>
      </w:r>
      <w:r>
        <w:rPr>
          <w:rFonts w:hint="eastAsia" w:ascii="仿宋_GB2312" w:hAnsi="仿宋" w:eastAsia="仿宋_GB2312"/>
          <w:sz w:val="32"/>
          <w:szCs w:val="32"/>
          <w:lang w:val="en-US" w:eastAsia="zh-CN"/>
        </w:rPr>
        <w:t>0</w:t>
      </w:r>
      <w:r>
        <w:rPr>
          <w:rFonts w:hint="eastAsia" w:ascii="仿宋_GB2312" w:hAnsi="仿宋" w:eastAsia="仿宋_GB2312"/>
          <w:sz w:val="32"/>
          <w:szCs w:val="32"/>
        </w:rPr>
        <w:t>台（套），单价100万元以上专用设备</w:t>
      </w:r>
      <w:r>
        <w:rPr>
          <w:rFonts w:hint="eastAsia" w:ascii="仿宋_GB2312" w:hAnsi="仿宋" w:eastAsia="仿宋_GB2312"/>
          <w:sz w:val="32"/>
          <w:szCs w:val="32"/>
          <w:lang w:val="en-US" w:eastAsia="zh-CN"/>
        </w:rPr>
        <w:t>0</w:t>
      </w:r>
      <w:r>
        <w:rPr>
          <w:rFonts w:hint="eastAsia" w:ascii="仿宋_GB2312" w:hAnsi="仿宋" w:eastAsia="仿宋_GB2312"/>
          <w:sz w:val="32"/>
          <w:szCs w:val="32"/>
        </w:rPr>
        <w:t>台（套）。</w:t>
      </w:r>
    </w:p>
    <w:p>
      <w:pPr>
        <w:keepNext w:val="0"/>
        <w:keepLines w:val="0"/>
        <w:pageBreakBefore w:val="0"/>
        <w:widowControl/>
        <w:kinsoku/>
        <w:wordWrap/>
        <w:overflowPunct/>
        <w:topLinePunct w:val="0"/>
        <w:bidi w:val="0"/>
        <w:spacing w:line="560" w:lineRule="exact"/>
        <w:ind w:firstLine="640" w:firstLineChars="200"/>
        <w:textAlignment w:val="auto"/>
        <w:rPr>
          <w:rFonts w:ascii="仿宋_GB2312" w:hAnsi="仿宋_GB2312" w:eastAsia="仿宋_GB2312" w:cs="仿宋_GB2312"/>
          <w:color w:val="FF0000"/>
          <w:kern w:val="0"/>
          <w:sz w:val="32"/>
          <w:szCs w:val="32"/>
          <w:shd w:val="clear" w:color="auto" w:fill="FFFFFF"/>
        </w:rPr>
      </w:pPr>
    </w:p>
    <w:tbl>
      <w:tblPr>
        <w:tblStyle w:val="4"/>
        <w:tblW w:w="14174" w:type="dxa"/>
        <w:tblInd w:w="0" w:type="dxa"/>
        <w:tblLayout w:type="fixed"/>
        <w:tblCellMar>
          <w:top w:w="0" w:type="dxa"/>
          <w:left w:w="108" w:type="dxa"/>
          <w:bottom w:w="0" w:type="dxa"/>
          <w:right w:w="108" w:type="dxa"/>
        </w:tblCellMar>
      </w:tblPr>
      <w:tblGrid>
        <w:gridCol w:w="5493"/>
        <w:gridCol w:w="3314"/>
        <w:gridCol w:w="5367"/>
      </w:tblGrid>
      <w:tr>
        <w:tblPrEx>
          <w:tblLayout w:type="fixed"/>
          <w:tblCellMar>
            <w:top w:w="0" w:type="dxa"/>
            <w:left w:w="108" w:type="dxa"/>
            <w:bottom w:w="0" w:type="dxa"/>
            <w:right w:w="108" w:type="dxa"/>
          </w:tblCellMar>
        </w:tblPrEx>
        <w:trPr>
          <w:trHeight w:val="575" w:hRule="atLeast"/>
        </w:trPr>
        <w:tc>
          <w:tcPr>
            <w:tcW w:w="14174" w:type="dxa"/>
            <w:gridSpan w:val="3"/>
            <w:tcBorders>
              <w:top w:val="nil"/>
              <w:left w:val="nil"/>
              <w:bottom w:val="nil"/>
              <w:right w:val="nil"/>
            </w:tcBorders>
            <w:vAlign w:val="center"/>
          </w:tcPr>
          <w:p>
            <w:pPr>
              <w:keepNext w:val="0"/>
              <w:keepLines w:val="0"/>
              <w:pageBreakBefore w:val="0"/>
              <w:widowControl/>
              <w:kinsoku/>
              <w:wordWrap/>
              <w:overflowPunct/>
              <w:topLinePunct w:val="0"/>
              <w:bidi w:val="0"/>
              <w:spacing w:line="560" w:lineRule="exact"/>
              <w:ind w:firstLine="562" w:firstLineChars="200"/>
              <w:jc w:val="center"/>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霸州市文学艺术界联合会部门固定资产占用情况表</w:t>
            </w:r>
          </w:p>
        </w:tc>
      </w:tr>
      <w:tr>
        <w:tblPrEx>
          <w:tblLayout w:type="fixed"/>
          <w:tblCellMar>
            <w:top w:w="0" w:type="dxa"/>
            <w:left w:w="108" w:type="dxa"/>
            <w:bottom w:w="0" w:type="dxa"/>
            <w:right w:w="108" w:type="dxa"/>
          </w:tblCellMar>
        </w:tblPrEx>
        <w:trPr>
          <w:trHeight w:val="493" w:hRule="atLeast"/>
        </w:trPr>
        <w:tc>
          <w:tcPr>
            <w:tcW w:w="8807" w:type="dxa"/>
            <w:gridSpan w:val="2"/>
            <w:tcBorders>
              <w:top w:val="nil"/>
              <w:left w:val="nil"/>
              <w:bottom w:val="nil"/>
              <w:right w:val="nil"/>
            </w:tcBorders>
            <w:vAlign w:val="center"/>
          </w:tcPr>
          <w:p>
            <w:pPr>
              <w:keepNext w:val="0"/>
              <w:keepLines w:val="0"/>
              <w:pageBreakBefore w:val="0"/>
              <w:widowControl/>
              <w:kinsoku/>
              <w:wordWrap/>
              <w:overflowPunct/>
              <w:topLinePunct w:val="0"/>
              <w:bidi w:val="0"/>
              <w:spacing w:line="560" w:lineRule="exact"/>
              <w:ind w:firstLine="440" w:firstLineChars="200"/>
              <w:jc w:val="left"/>
              <w:textAlignment w:val="auto"/>
              <w:rPr>
                <w:rFonts w:hint="eastAsia" w:ascii="仿宋" w:hAnsi="仿宋" w:eastAsia="仿宋" w:cs="仿宋"/>
                <w:kern w:val="0"/>
                <w:sz w:val="22"/>
              </w:rPr>
            </w:pPr>
            <w:r>
              <w:rPr>
                <w:rFonts w:hint="eastAsia" w:ascii="仿宋" w:hAnsi="仿宋" w:eastAsia="仿宋" w:cs="仿宋"/>
                <w:kern w:val="0"/>
                <w:sz w:val="22"/>
                <w:szCs w:val="22"/>
              </w:rPr>
              <w:t>编制部门：</w:t>
            </w:r>
            <w:r>
              <w:rPr>
                <w:rFonts w:hint="eastAsia" w:ascii="仿宋" w:hAnsi="仿宋" w:eastAsia="仿宋" w:cs="仿宋"/>
                <w:kern w:val="0"/>
                <w:sz w:val="22"/>
                <w:szCs w:val="22"/>
                <w:lang w:val="en-US" w:eastAsia="zh-CN"/>
              </w:rPr>
              <w:t>506</w:t>
            </w:r>
            <w:r>
              <w:rPr>
                <w:rFonts w:hint="eastAsia" w:ascii="仿宋" w:hAnsi="仿宋" w:eastAsia="仿宋" w:cs="仿宋"/>
                <w:kern w:val="0"/>
                <w:sz w:val="22"/>
                <w:szCs w:val="22"/>
              </w:rPr>
              <w:t>霸州市文学艺术界联合会</w:t>
            </w:r>
          </w:p>
        </w:tc>
        <w:tc>
          <w:tcPr>
            <w:tcW w:w="5367" w:type="dxa"/>
            <w:tcBorders>
              <w:top w:val="nil"/>
              <w:left w:val="nil"/>
              <w:bottom w:val="nil"/>
              <w:right w:val="nil"/>
            </w:tcBorders>
            <w:vAlign w:val="center"/>
          </w:tcPr>
          <w:p>
            <w:pPr>
              <w:keepNext w:val="0"/>
              <w:keepLines w:val="0"/>
              <w:pageBreakBefore w:val="0"/>
              <w:widowControl/>
              <w:kinsoku/>
              <w:wordWrap/>
              <w:overflowPunct/>
              <w:topLinePunct w:val="0"/>
              <w:bidi w:val="0"/>
              <w:spacing w:line="560" w:lineRule="exact"/>
              <w:ind w:firstLine="440" w:firstLineChars="200"/>
              <w:jc w:val="right"/>
              <w:textAlignment w:val="auto"/>
              <w:rPr>
                <w:rFonts w:hint="eastAsia" w:ascii="仿宋" w:hAnsi="仿宋" w:eastAsia="仿宋" w:cs="仿宋"/>
                <w:kern w:val="0"/>
                <w:sz w:val="22"/>
              </w:rPr>
            </w:pPr>
            <w:r>
              <w:rPr>
                <w:rFonts w:hint="eastAsia" w:ascii="仿宋" w:hAnsi="仿宋" w:eastAsia="仿宋" w:cs="仿宋"/>
                <w:kern w:val="0"/>
                <w:sz w:val="22"/>
                <w:szCs w:val="22"/>
              </w:rPr>
              <w:t>截止时间：2017年12月31日</w:t>
            </w:r>
          </w:p>
        </w:tc>
      </w:tr>
      <w:tr>
        <w:tblPrEx>
          <w:tblLayout w:type="fixed"/>
          <w:tblCellMar>
            <w:top w:w="0" w:type="dxa"/>
            <w:left w:w="108" w:type="dxa"/>
            <w:bottom w:w="0" w:type="dxa"/>
            <w:right w:w="108" w:type="dxa"/>
          </w:tblCellMar>
        </w:tblPrEx>
        <w:trPr>
          <w:trHeight w:val="571" w:hRule="atLeast"/>
        </w:trPr>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ind w:firstLine="442" w:firstLineChars="200"/>
              <w:jc w:val="left"/>
              <w:textAlignment w:val="auto"/>
              <w:rPr>
                <w:rFonts w:hint="eastAsia" w:ascii="仿宋" w:hAnsi="仿宋" w:eastAsia="仿宋" w:cs="仿宋"/>
                <w:b/>
                <w:bCs/>
                <w:kern w:val="0"/>
                <w:sz w:val="22"/>
              </w:rPr>
            </w:pPr>
            <w:r>
              <w:rPr>
                <w:rFonts w:hint="eastAsia" w:ascii="仿宋" w:hAnsi="仿宋" w:eastAsia="仿宋" w:cs="仿宋"/>
                <w:b/>
                <w:bCs/>
                <w:kern w:val="0"/>
                <w:sz w:val="22"/>
              </w:rPr>
              <w:t>项  目</w:t>
            </w:r>
          </w:p>
        </w:tc>
        <w:tc>
          <w:tcPr>
            <w:tcW w:w="33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ind w:firstLine="442" w:firstLineChars="200"/>
              <w:jc w:val="center"/>
              <w:textAlignment w:val="auto"/>
              <w:rPr>
                <w:rFonts w:hint="eastAsia" w:ascii="仿宋" w:hAnsi="仿宋" w:eastAsia="仿宋" w:cs="仿宋"/>
                <w:b/>
                <w:bCs/>
                <w:kern w:val="0"/>
                <w:sz w:val="22"/>
              </w:rPr>
            </w:pPr>
            <w:r>
              <w:rPr>
                <w:rFonts w:hint="eastAsia" w:ascii="仿宋" w:hAnsi="仿宋" w:eastAsia="仿宋" w:cs="仿宋"/>
                <w:b/>
                <w:bCs/>
                <w:kern w:val="0"/>
                <w:sz w:val="22"/>
              </w:rPr>
              <w:t>数量</w:t>
            </w:r>
          </w:p>
        </w:tc>
        <w:tc>
          <w:tcPr>
            <w:tcW w:w="536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ind w:firstLine="442" w:firstLineChars="200"/>
              <w:jc w:val="center"/>
              <w:textAlignment w:val="auto"/>
              <w:rPr>
                <w:rFonts w:hint="eastAsia" w:ascii="仿宋" w:hAnsi="仿宋" w:eastAsia="仿宋" w:cs="仿宋"/>
                <w:b/>
                <w:bCs/>
                <w:kern w:val="0"/>
                <w:sz w:val="22"/>
              </w:rPr>
            </w:pPr>
            <w:r>
              <w:rPr>
                <w:rFonts w:hint="eastAsia" w:ascii="仿宋" w:hAnsi="仿宋" w:eastAsia="仿宋" w:cs="仿宋"/>
                <w:b/>
                <w:bCs/>
                <w:kern w:val="0"/>
                <w:sz w:val="22"/>
              </w:rPr>
              <w:t>价值（金额单位：万元）</w:t>
            </w:r>
          </w:p>
        </w:tc>
      </w:tr>
      <w:tr>
        <w:tblPrEx>
          <w:tblLayout w:type="fixed"/>
          <w:tblCellMar>
            <w:top w:w="0" w:type="dxa"/>
            <w:left w:w="108" w:type="dxa"/>
            <w:bottom w:w="0" w:type="dxa"/>
            <w:right w:w="108" w:type="dxa"/>
          </w:tblCellMar>
        </w:tblPrEx>
        <w:trPr>
          <w:trHeight w:val="571" w:hRule="atLeast"/>
        </w:trPr>
        <w:tc>
          <w:tcPr>
            <w:tcW w:w="549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ind w:firstLine="440" w:firstLineChars="200"/>
              <w:jc w:val="left"/>
              <w:textAlignment w:val="auto"/>
              <w:rPr>
                <w:rFonts w:hint="eastAsia" w:ascii="仿宋" w:hAnsi="仿宋" w:eastAsia="仿宋" w:cs="仿宋"/>
                <w:kern w:val="0"/>
                <w:sz w:val="22"/>
              </w:rPr>
            </w:pPr>
            <w:r>
              <w:rPr>
                <w:rFonts w:hint="eastAsia" w:ascii="仿宋" w:hAnsi="仿宋" w:eastAsia="仿宋" w:cs="仿宋"/>
                <w:kern w:val="0"/>
                <w:sz w:val="22"/>
              </w:rPr>
              <w:t>资产总额</w:t>
            </w:r>
          </w:p>
        </w:tc>
        <w:tc>
          <w:tcPr>
            <w:tcW w:w="33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ind w:firstLine="440" w:firstLineChars="200"/>
              <w:jc w:val="center"/>
              <w:textAlignment w:val="auto"/>
              <w:rPr>
                <w:rFonts w:hint="eastAsia" w:ascii="仿宋" w:hAnsi="仿宋" w:eastAsia="仿宋" w:cs="仿宋"/>
                <w:kern w:val="0"/>
                <w:sz w:val="22"/>
                <w:lang w:eastAsia="zh-CN"/>
              </w:rPr>
            </w:pPr>
            <w:r>
              <w:rPr>
                <w:rFonts w:hint="eastAsia" w:ascii="仿宋" w:hAnsi="仿宋" w:eastAsia="仿宋" w:cs="仿宋"/>
                <w:kern w:val="0"/>
                <w:sz w:val="22"/>
                <w:lang w:val="en-US" w:eastAsia="zh-CN"/>
              </w:rPr>
              <w:t>1</w:t>
            </w:r>
          </w:p>
        </w:tc>
        <w:tc>
          <w:tcPr>
            <w:tcW w:w="53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ind w:firstLine="440" w:firstLineChars="200"/>
              <w:jc w:val="center"/>
              <w:textAlignment w:val="auto"/>
              <w:rPr>
                <w:rFonts w:hint="eastAsia" w:ascii="仿宋" w:hAnsi="仿宋" w:eastAsia="仿宋" w:cs="仿宋"/>
                <w:kern w:val="0"/>
                <w:sz w:val="22"/>
                <w:lang w:val="en-US" w:eastAsia="zh-CN"/>
              </w:rPr>
            </w:pPr>
            <w:r>
              <w:rPr>
                <w:rFonts w:hint="eastAsia" w:ascii="仿宋" w:hAnsi="仿宋" w:eastAsia="仿宋" w:cs="仿宋"/>
                <w:kern w:val="0"/>
                <w:sz w:val="22"/>
                <w:lang w:val="en-US" w:eastAsia="zh-CN"/>
              </w:rPr>
              <w:t>23.74</w:t>
            </w:r>
          </w:p>
        </w:tc>
      </w:tr>
      <w:tr>
        <w:tblPrEx>
          <w:tblLayout w:type="fixed"/>
          <w:tblCellMar>
            <w:top w:w="0" w:type="dxa"/>
            <w:left w:w="108" w:type="dxa"/>
            <w:bottom w:w="0" w:type="dxa"/>
            <w:right w:w="108" w:type="dxa"/>
          </w:tblCellMar>
        </w:tblPrEx>
        <w:trPr>
          <w:trHeight w:val="571" w:hRule="atLeast"/>
        </w:trPr>
        <w:tc>
          <w:tcPr>
            <w:tcW w:w="549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ind w:firstLine="440" w:firstLineChars="200"/>
              <w:jc w:val="left"/>
              <w:textAlignment w:val="auto"/>
              <w:rPr>
                <w:rFonts w:hint="eastAsia" w:ascii="仿宋" w:hAnsi="仿宋" w:eastAsia="仿宋" w:cs="仿宋"/>
                <w:kern w:val="0"/>
                <w:sz w:val="22"/>
              </w:rPr>
            </w:pPr>
            <w:r>
              <w:rPr>
                <w:rFonts w:hint="eastAsia" w:ascii="仿宋" w:hAnsi="仿宋" w:eastAsia="仿宋" w:cs="仿宋"/>
                <w:kern w:val="0"/>
                <w:sz w:val="22"/>
              </w:rPr>
              <w:t>1、房屋（平方米）</w:t>
            </w:r>
          </w:p>
        </w:tc>
        <w:tc>
          <w:tcPr>
            <w:tcW w:w="33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ind w:firstLine="440" w:firstLineChars="200"/>
              <w:jc w:val="center"/>
              <w:textAlignment w:val="auto"/>
              <w:rPr>
                <w:rFonts w:hint="eastAsia" w:ascii="仿宋" w:hAnsi="仿宋" w:eastAsia="仿宋" w:cs="仿宋"/>
                <w:kern w:val="0"/>
                <w:sz w:val="22"/>
              </w:rPr>
            </w:pPr>
          </w:p>
        </w:tc>
        <w:tc>
          <w:tcPr>
            <w:tcW w:w="53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ind w:firstLine="440" w:firstLineChars="200"/>
              <w:jc w:val="center"/>
              <w:textAlignment w:val="auto"/>
              <w:rPr>
                <w:rFonts w:hint="eastAsia" w:ascii="仿宋" w:hAnsi="仿宋" w:eastAsia="仿宋" w:cs="仿宋"/>
                <w:kern w:val="0"/>
                <w:sz w:val="22"/>
              </w:rPr>
            </w:pPr>
          </w:p>
        </w:tc>
      </w:tr>
      <w:tr>
        <w:tblPrEx>
          <w:tblLayout w:type="fixed"/>
          <w:tblCellMar>
            <w:top w:w="0" w:type="dxa"/>
            <w:left w:w="108" w:type="dxa"/>
            <w:bottom w:w="0" w:type="dxa"/>
            <w:right w:w="108" w:type="dxa"/>
          </w:tblCellMar>
        </w:tblPrEx>
        <w:trPr>
          <w:trHeight w:val="571" w:hRule="atLeast"/>
        </w:trPr>
        <w:tc>
          <w:tcPr>
            <w:tcW w:w="549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ind w:firstLine="440" w:firstLineChars="200"/>
              <w:jc w:val="left"/>
              <w:textAlignment w:val="auto"/>
              <w:rPr>
                <w:rFonts w:hint="eastAsia" w:ascii="仿宋" w:hAnsi="仿宋" w:eastAsia="仿宋" w:cs="仿宋"/>
                <w:kern w:val="0"/>
                <w:sz w:val="22"/>
              </w:rPr>
            </w:pPr>
            <w:r>
              <w:rPr>
                <w:rFonts w:hint="eastAsia" w:ascii="仿宋" w:hAnsi="仿宋" w:eastAsia="仿宋" w:cs="仿宋"/>
                <w:kern w:val="0"/>
                <w:sz w:val="22"/>
              </w:rPr>
              <w:t>其中：办公用房（平方米）</w:t>
            </w:r>
          </w:p>
        </w:tc>
        <w:tc>
          <w:tcPr>
            <w:tcW w:w="33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ind w:firstLine="440" w:firstLineChars="200"/>
              <w:jc w:val="center"/>
              <w:textAlignment w:val="auto"/>
              <w:rPr>
                <w:rFonts w:hint="eastAsia" w:ascii="仿宋" w:hAnsi="仿宋" w:eastAsia="仿宋" w:cs="仿宋"/>
                <w:kern w:val="0"/>
                <w:sz w:val="22"/>
              </w:rPr>
            </w:pPr>
          </w:p>
        </w:tc>
        <w:tc>
          <w:tcPr>
            <w:tcW w:w="53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ind w:firstLine="440" w:firstLineChars="200"/>
              <w:jc w:val="center"/>
              <w:textAlignment w:val="auto"/>
              <w:rPr>
                <w:rFonts w:hint="eastAsia" w:ascii="仿宋" w:hAnsi="仿宋" w:eastAsia="仿宋" w:cs="仿宋"/>
                <w:kern w:val="0"/>
                <w:sz w:val="22"/>
              </w:rPr>
            </w:pPr>
          </w:p>
        </w:tc>
      </w:tr>
      <w:tr>
        <w:tblPrEx>
          <w:tblLayout w:type="fixed"/>
          <w:tblCellMar>
            <w:top w:w="0" w:type="dxa"/>
            <w:left w:w="108" w:type="dxa"/>
            <w:bottom w:w="0" w:type="dxa"/>
            <w:right w:w="108" w:type="dxa"/>
          </w:tblCellMar>
        </w:tblPrEx>
        <w:trPr>
          <w:trHeight w:val="571" w:hRule="atLeast"/>
        </w:trPr>
        <w:tc>
          <w:tcPr>
            <w:tcW w:w="549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ind w:firstLine="440" w:firstLineChars="200"/>
              <w:jc w:val="left"/>
              <w:textAlignment w:val="auto"/>
              <w:rPr>
                <w:rFonts w:hint="eastAsia" w:ascii="仿宋" w:hAnsi="仿宋" w:eastAsia="仿宋" w:cs="仿宋"/>
                <w:kern w:val="0"/>
                <w:sz w:val="22"/>
              </w:rPr>
            </w:pPr>
            <w:r>
              <w:rPr>
                <w:rFonts w:hint="eastAsia" w:ascii="仿宋" w:hAnsi="仿宋" w:eastAsia="仿宋" w:cs="仿宋"/>
                <w:kern w:val="0"/>
                <w:sz w:val="22"/>
              </w:rPr>
              <w:t>2、车辆（台、辆）</w:t>
            </w:r>
          </w:p>
        </w:tc>
        <w:tc>
          <w:tcPr>
            <w:tcW w:w="33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ind w:firstLine="440" w:firstLineChars="200"/>
              <w:jc w:val="center"/>
              <w:textAlignment w:val="auto"/>
              <w:rPr>
                <w:rFonts w:hint="eastAsia" w:ascii="仿宋" w:hAnsi="仿宋" w:eastAsia="仿宋" w:cs="仿宋"/>
                <w:kern w:val="0"/>
                <w:sz w:val="22"/>
                <w:lang w:val="en-US" w:eastAsia="zh-CN"/>
              </w:rPr>
            </w:pPr>
            <w:r>
              <w:rPr>
                <w:rFonts w:hint="eastAsia" w:ascii="仿宋" w:hAnsi="仿宋" w:eastAsia="仿宋" w:cs="仿宋"/>
                <w:kern w:val="0"/>
                <w:sz w:val="22"/>
                <w:lang w:val="en-US" w:eastAsia="zh-CN"/>
              </w:rPr>
              <w:t>1</w:t>
            </w:r>
          </w:p>
        </w:tc>
        <w:tc>
          <w:tcPr>
            <w:tcW w:w="53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ind w:firstLine="440" w:firstLineChars="200"/>
              <w:jc w:val="center"/>
              <w:textAlignment w:val="auto"/>
              <w:rPr>
                <w:rFonts w:hint="eastAsia" w:ascii="仿宋" w:hAnsi="仿宋" w:eastAsia="仿宋" w:cs="仿宋"/>
                <w:kern w:val="0"/>
                <w:sz w:val="22"/>
                <w:lang w:val="en-US" w:eastAsia="zh-CN"/>
              </w:rPr>
            </w:pPr>
            <w:r>
              <w:rPr>
                <w:rFonts w:hint="eastAsia" w:ascii="仿宋" w:hAnsi="仿宋" w:eastAsia="仿宋" w:cs="仿宋"/>
                <w:kern w:val="0"/>
                <w:sz w:val="22"/>
                <w:lang w:val="en-US" w:eastAsia="zh-CN"/>
              </w:rPr>
              <w:t>10.70</w:t>
            </w:r>
          </w:p>
        </w:tc>
      </w:tr>
      <w:tr>
        <w:tblPrEx>
          <w:tblLayout w:type="fixed"/>
          <w:tblCellMar>
            <w:top w:w="0" w:type="dxa"/>
            <w:left w:w="108" w:type="dxa"/>
            <w:bottom w:w="0" w:type="dxa"/>
            <w:right w:w="108" w:type="dxa"/>
          </w:tblCellMar>
        </w:tblPrEx>
        <w:trPr>
          <w:trHeight w:val="571" w:hRule="atLeast"/>
        </w:trPr>
        <w:tc>
          <w:tcPr>
            <w:tcW w:w="549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ind w:firstLine="440" w:firstLineChars="200"/>
              <w:jc w:val="left"/>
              <w:textAlignment w:val="auto"/>
              <w:rPr>
                <w:rFonts w:hint="eastAsia" w:ascii="仿宋" w:hAnsi="仿宋" w:eastAsia="仿宋" w:cs="仿宋"/>
                <w:kern w:val="0"/>
                <w:sz w:val="22"/>
              </w:rPr>
            </w:pPr>
            <w:r>
              <w:rPr>
                <w:rFonts w:hint="eastAsia" w:ascii="仿宋" w:hAnsi="仿宋" w:eastAsia="仿宋" w:cs="仿宋"/>
                <w:kern w:val="0"/>
                <w:sz w:val="22"/>
              </w:rPr>
              <w:t>3、单价在50万元以上的设备</w:t>
            </w:r>
          </w:p>
        </w:tc>
        <w:tc>
          <w:tcPr>
            <w:tcW w:w="33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ind w:firstLine="440" w:firstLineChars="200"/>
              <w:jc w:val="center"/>
              <w:textAlignment w:val="auto"/>
              <w:rPr>
                <w:rFonts w:hint="eastAsia" w:ascii="仿宋" w:hAnsi="仿宋" w:eastAsia="仿宋" w:cs="仿宋"/>
                <w:kern w:val="0"/>
                <w:sz w:val="22"/>
                <w:lang w:val="en-US" w:eastAsia="zh-CN"/>
              </w:rPr>
            </w:pPr>
          </w:p>
        </w:tc>
        <w:tc>
          <w:tcPr>
            <w:tcW w:w="53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ind w:firstLine="440" w:firstLineChars="200"/>
              <w:jc w:val="center"/>
              <w:textAlignment w:val="auto"/>
              <w:rPr>
                <w:rFonts w:hint="eastAsia" w:ascii="仿宋" w:hAnsi="仿宋" w:eastAsia="仿宋" w:cs="仿宋"/>
                <w:kern w:val="0"/>
                <w:sz w:val="22"/>
              </w:rPr>
            </w:pPr>
          </w:p>
        </w:tc>
      </w:tr>
      <w:tr>
        <w:tblPrEx>
          <w:tblLayout w:type="fixed"/>
          <w:tblCellMar>
            <w:top w:w="0" w:type="dxa"/>
            <w:left w:w="108" w:type="dxa"/>
            <w:bottom w:w="0" w:type="dxa"/>
            <w:right w:w="108" w:type="dxa"/>
          </w:tblCellMar>
        </w:tblPrEx>
        <w:trPr>
          <w:trHeight w:val="613" w:hRule="atLeast"/>
        </w:trPr>
        <w:tc>
          <w:tcPr>
            <w:tcW w:w="549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ind w:firstLine="440" w:firstLineChars="200"/>
              <w:jc w:val="left"/>
              <w:textAlignment w:val="auto"/>
              <w:rPr>
                <w:rFonts w:hint="eastAsia" w:ascii="仿宋" w:hAnsi="仿宋" w:eastAsia="仿宋" w:cs="仿宋"/>
                <w:kern w:val="0"/>
                <w:sz w:val="22"/>
              </w:rPr>
            </w:pPr>
            <w:r>
              <w:rPr>
                <w:rFonts w:hint="eastAsia" w:ascii="仿宋" w:hAnsi="仿宋" w:eastAsia="仿宋" w:cs="仿宋"/>
                <w:kern w:val="0"/>
                <w:sz w:val="22"/>
              </w:rPr>
              <w:t>4、其他固定资产</w:t>
            </w:r>
          </w:p>
        </w:tc>
        <w:tc>
          <w:tcPr>
            <w:tcW w:w="33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ind w:firstLine="440" w:firstLineChars="200"/>
              <w:jc w:val="center"/>
              <w:textAlignment w:val="auto"/>
              <w:rPr>
                <w:rFonts w:hint="eastAsia" w:ascii="仿宋" w:hAnsi="仿宋" w:eastAsia="仿宋" w:cs="仿宋"/>
                <w:kern w:val="0"/>
                <w:sz w:val="22"/>
              </w:rPr>
            </w:pPr>
          </w:p>
        </w:tc>
        <w:tc>
          <w:tcPr>
            <w:tcW w:w="53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ind w:firstLine="440" w:firstLineChars="200"/>
              <w:jc w:val="center"/>
              <w:textAlignment w:val="auto"/>
              <w:rPr>
                <w:rFonts w:hint="eastAsia" w:ascii="仿宋" w:hAnsi="仿宋" w:eastAsia="仿宋" w:cs="仿宋"/>
                <w:kern w:val="0"/>
                <w:sz w:val="22"/>
                <w:lang w:val="en-US" w:eastAsia="zh-CN"/>
              </w:rPr>
            </w:pPr>
            <w:r>
              <w:rPr>
                <w:rFonts w:hint="eastAsia" w:ascii="仿宋" w:hAnsi="仿宋" w:eastAsia="仿宋" w:cs="仿宋"/>
                <w:kern w:val="0"/>
                <w:sz w:val="22"/>
                <w:lang w:val="en-US" w:eastAsia="zh-CN"/>
              </w:rPr>
              <w:t>13.04</w:t>
            </w:r>
          </w:p>
        </w:tc>
      </w:tr>
    </w:tbl>
    <w:p>
      <w:pPr>
        <w:keepNext w:val="0"/>
        <w:keepLines w:val="0"/>
        <w:pageBreakBefore w:val="0"/>
        <w:widowControl/>
        <w:numPr>
          <w:ilvl w:val="0"/>
          <w:numId w:val="4"/>
        </w:numPr>
        <w:kinsoku/>
        <w:wordWrap/>
        <w:overflowPunct/>
        <w:topLinePunct w:val="0"/>
        <w:bidi w:val="0"/>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其他需要说明的情况</w:t>
      </w:r>
    </w:p>
    <w:p>
      <w:pPr>
        <w:keepNext w:val="0"/>
        <w:keepLines w:val="0"/>
        <w:pageBreakBefore w:val="0"/>
        <w:widowControl/>
        <w:numPr>
          <w:ilvl w:val="0"/>
          <w:numId w:val="5"/>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由于会计连续性需要，2017年度决算本部门按财政补助单位填列，造成机关运行费未在报表中反映。</w:t>
      </w:r>
    </w:p>
    <w:p>
      <w:pPr>
        <w:keepNext w:val="0"/>
        <w:keepLines w:val="0"/>
        <w:pageBreakBefore w:val="0"/>
        <w:widowControl/>
        <w:numPr>
          <w:ilvl w:val="0"/>
          <w:numId w:val="5"/>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由于决算公开表格中金额数值应当保留两位小数，公开数据为四舍五入计算结果，个别数据合计项与分项之和存在小数点后差额，特此说明。</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ascii="仿宋" w:hAnsi="仿宋" w:eastAsia="仿宋" w:cs="仿宋"/>
          <w:color w:val="FF0000"/>
          <w:sz w:val="32"/>
          <w:szCs w:val="32"/>
        </w:rPr>
      </w:pPr>
      <w:r>
        <w:rPr>
          <w:rFonts w:hint="eastAsia" w:eastAsia="黑体"/>
          <w:sz w:val="32"/>
          <w:szCs w:val="32"/>
        </w:rPr>
        <w:t>四、</w:t>
      </w:r>
      <w:r>
        <w:rPr>
          <w:rFonts w:eastAsia="黑体"/>
          <w:sz w:val="32"/>
          <w:szCs w:val="32"/>
        </w:rPr>
        <w:t>名词解释</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（一）财政拨款收入：本年度从本级财政部门取得的财政拨款，包括一般公共预算财政拨款和政府性基金预算财政拨款。</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（二）事业收入：指事业单位开展专业业务活动及辅助活动所取得的收入。</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（三）其他收入：指除上述“财政拨款收入”、“事业收入”、“经营收入”等以外的收入。</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（五）年初结转和结余：指以前年度尚未完成、结转到本年仍按原规定用途继续使用的资金，或项目已完成等产生的结余资金。</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（六）结余分配：指事业单位按照事业单位会计制度的规定从非财政补助结余中分配的事业基金和职工福利基金等。</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（七）年末结转和结余：指单位按有关规定结转到下年或以后年度继续使用的资金，或项目已完成等产生的结余资金。</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（八）基本支出：填列单位为保障机构正常运转、完成日常工作任务而发生的各项支出。</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（九）项目支出：填列单位为完成特定的行政工作任务或事业发展目标，在基本支出之外发生的各项支出</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（十三）其他交通费用：填列单位除公务用车运行维护费以外的其他交通费用。如飞机、船舶等的燃料费、维修费、过桥过路费、保险费、出租车费用、公务交通补贴等。</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（十四）公务用车购置：填列单位公务用车车辆购置支出（含车辆购置税）。</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（十五）其他交通工具购置：填列单位除公务用车外的其他各类交通工具（如船舶、飞机）购置支出（含车辆购置税）。</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keepNext w:val="0"/>
        <w:keepLines w:val="0"/>
        <w:pageBreakBefore w:val="0"/>
        <w:kinsoku/>
        <w:wordWrap/>
        <w:overflowPunct/>
        <w:topLinePunct w:val="0"/>
        <w:bidi w:val="0"/>
        <w:ind w:firstLine="420" w:firstLineChars="200"/>
        <w:textAlignment w:val="auto"/>
      </w:pPr>
    </w:p>
    <w:sectPr>
      <w:footerReference r:id="rId3" w:type="even"/>
      <w:pgSz w:w="16838" w:h="11906" w:orient="landscape"/>
      <w:pgMar w:top="1701" w:right="1440" w:bottom="1701"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6C6D9F"/>
    <w:multiLevelType w:val="singleLevel"/>
    <w:tmpl w:val="B86C6D9F"/>
    <w:lvl w:ilvl="0" w:tentative="0">
      <w:start w:val="2"/>
      <w:numFmt w:val="decimal"/>
      <w:suff w:val="nothing"/>
      <w:lvlText w:val="%1、"/>
      <w:lvlJc w:val="left"/>
    </w:lvl>
  </w:abstractNum>
  <w:abstractNum w:abstractNumId="1">
    <w:nsid w:val="BDE5352F"/>
    <w:multiLevelType w:val="singleLevel"/>
    <w:tmpl w:val="BDE5352F"/>
    <w:lvl w:ilvl="0" w:tentative="0">
      <w:start w:val="4"/>
      <w:numFmt w:val="decimal"/>
      <w:suff w:val="nothing"/>
      <w:lvlText w:val="%1、"/>
      <w:lvlJc w:val="left"/>
    </w:lvl>
  </w:abstractNum>
  <w:abstractNum w:abstractNumId="2">
    <w:nsid w:val="30A57665"/>
    <w:multiLevelType w:val="singleLevel"/>
    <w:tmpl w:val="30A57665"/>
    <w:lvl w:ilvl="0" w:tentative="0">
      <w:start w:val="1"/>
      <w:numFmt w:val="decimal"/>
      <w:lvlText w:val="(%1)"/>
      <w:lvlJc w:val="left"/>
      <w:pPr>
        <w:ind w:left="425" w:hanging="425"/>
      </w:pPr>
      <w:rPr>
        <w:rFonts w:hint="default"/>
      </w:rPr>
    </w:lvl>
  </w:abstractNum>
  <w:abstractNum w:abstractNumId="3">
    <w:nsid w:val="5F6E5825"/>
    <w:multiLevelType w:val="singleLevel"/>
    <w:tmpl w:val="5F6E5825"/>
    <w:lvl w:ilvl="0" w:tentative="0">
      <w:start w:val="1"/>
      <w:numFmt w:val="chineseCounting"/>
      <w:suff w:val="nothing"/>
      <w:lvlText w:val="%1、"/>
      <w:lvlJc w:val="left"/>
    </w:lvl>
  </w:abstractNum>
  <w:abstractNum w:abstractNumId="4">
    <w:nsid w:val="6FB8FE61"/>
    <w:multiLevelType w:val="singleLevel"/>
    <w:tmpl w:val="6FB8FE61"/>
    <w:lvl w:ilvl="0" w:tentative="0">
      <w:start w:val="1"/>
      <w:numFmt w:val="chineseCounting"/>
      <w:suff w:val="nothing"/>
      <w:lvlText w:val="（%1）"/>
      <w:lvlJc w:val="left"/>
      <w:pPr>
        <w:ind w:left="0" w:firstLine="420"/>
      </w:pPr>
      <w:rPr>
        <w:rFonts w:hint="eastAsi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08"/>
    <w:rsid w:val="00052DDA"/>
    <w:rsid w:val="00614BE8"/>
    <w:rsid w:val="00964408"/>
    <w:rsid w:val="00AB2588"/>
    <w:rsid w:val="03AE3F81"/>
    <w:rsid w:val="07523FEF"/>
    <w:rsid w:val="0A2C069E"/>
    <w:rsid w:val="0A7C59E2"/>
    <w:rsid w:val="0CE50EB2"/>
    <w:rsid w:val="0E02502D"/>
    <w:rsid w:val="260413AC"/>
    <w:rsid w:val="278D16D1"/>
    <w:rsid w:val="2878204F"/>
    <w:rsid w:val="294C2677"/>
    <w:rsid w:val="2AC508B0"/>
    <w:rsid w:val="2DB8450E"/>
    <w:rsid w:val="2E342CC5"/>
    <w:rsid w:val="31857C29"/>
    <w:rsid w:val="33756EFB"/>
    <w:rsid w:val="34176EA9"/>
    <w:rsid w:val="357E3043"/>
    <w:rsid w:val="35FF7A92"/>
    <w:rsid w:val="3E5907ED"/>
    <w:rsid w:val="42E22481"/>
    <w:rsid w:val="466F2DA3"/>
    <w:rsid w:val="46921F49"/>
    <w:rsid w:val="4B827D41"/>
    <w:rsid w:val="4C1A1352"/>
    <w:rsid w:val="516F0E27"/>
    <w:rsid w:val="554F6152"/>
    <w:rsid w:val="56C7257A"/>
    <w:rsid w:val="58B45051"/>
    <w:rsid w:val="59310E73"/>
    <w:rsid w:val="5AC3656A"/>
    <w:rsid w:val="5C717786"/>
    <w:rsid w:val="63B92774"/>
    <w:rsid w:val="685C618D"/>
    <w:rsid w:val="686C5F14"/>
    <w:rsid w:val="6CC07DA9"/>
    <w:rsid w:val="702810D1"/>
    <w:rsid w:val="7070145A"/>
    <w:rsid w:val="70B71CFC"/>
    <w:rsid w:val="71FC73FC"/>
    <w:rsid w:val="782350FF"/>
    <w:rsid w:val="7C545812"/>
    <w:rsid w:val="7F355C11"/>
    <w:rsid w:val="7F9A5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269;&#24211;\AppData\Roaming\Kingsoft\wps\addons\pool\win-i386\knewfileruby_1.0.0.12\template\wps\0.doc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7</Pages>
  <Words>530</Words>
  <Characters>3023</Characters>
  <Lines>25</Lines>
  <Paragraphs>7</Paragraphs>
  <TotalTime>0</TotalTime>
  <ScaleCrop>false</ScaleCrop>
  <LinksUpToDate>false</LinksUpToDate>
  <CharactersWithSpaces>3546</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2018-10-09T08:52:00Z</dcterms:created>
  <dc:creator>国库</dc:creator>
  <cp:lastModifiedBy>无心之言*</cp:lastModifiedBy>
  <cp:lastPrinted>2018-11-02T07:39:00Z</cp:lastPrinted>
  <dcterms:modified xsi:type="dcterms:W3CDTF">2019-01-29T10:10:32Z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